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DCFB"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r w:rsidRPr="00A45B8D">
        <w:rPr>
          <w:rFonts w:asciiTheme="minorHAnsi" w:hAnsiTheme="minorHAnsi" w:cstheme="minorHAnsi"/>
          <w:b/>
          <w:noProof/>
          <w:sz w:val="24"/>
          <w:szCs w:val="24"/>
          <w:lang w:val="en-GB"/>
        </w:rPr>
        <w:drawing>
          <wp:anchor distT="0" distB="0" distL="114300" distR="114300" simplePos="0" relativeHeight="251658240" behindDoc="0" locked="0" layoutInCell="1" allowOverlap="1" wp14:anchorId="6DF85A64" wp14:editId="6BB094AE">
            <wp:simplePos x="0" y="0"/>
            <wp:positionH relativeFrom="column">
              <wp:posOffset>0</wp:posOffset>
            </wp:positionH>
            <wp:positionV relativeFrom="paragraph">
              <wp:posOffset>0</wp:posOffset>
            </wp:positionV>
            <wp:extent cx="2228850" cy="609600"/>
            <wp:effectExtent l="0" t="0" r="0" b="0"/>
            <wp:wrapSquare wrapText="r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E9766"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2062F49B"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0F4E9BE7"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55BFAC3B" w14:textId="77777777" w:rsidR="000C5220" w:rsidRPr="00A45B8D" w:rsidRDefault="000C5220" w:rsidP="000C5220">
      <w:pPr>
        <w:spacing w:after="0" w:line="240" w:lineRule="auto"/>
        <w:ind w:right="-613"/>
        <w:rPr>
          <w:rFonts w:cstheme="minorHAnsi"/>
          <w:sz w:val="20"/>
          <w:szCs w:val="20"/>
          <w:lang w:eastAsia="en-GB"/>
        </w:rPr>
      </w:pPr>
      <w:r w:rsidRPr="00A45B8D">
        <w:rPr>
          <w:rFonts w:cstheme="minorHAnsi"/>
          <w:sz w:val="20"/>
          <w:szCs w:val="20"/>
          <w:lang w:eastAsia="en-GB"/>
        </w:rPr>
        <w:t>Henstaff Court Business Centre, Groesfaen, Cardiff CF72 8NG</w:t>
      </w:r>
    </w:p>
    <w:p w14:paraId="353F3FEE" w14:textId="77777777" w:rsidR="000C5220" w:rsidRPr="00A45B8D" w:rsidRDefault="000C5220" w:rsidP="000C5220">
      <w:pPr>
        <w:spacing w:after="0" w:line="240" w:lineRule="auto"/>
        <w:ind w:right="29"/>
        <w:rPr>
          <w:rFonts w:cstheme="minorHAnsi"/>
          <w:sz w:val="20"/>
          <w:szCs w:val="20"/>
          <w:lang w:eastAsia="en-GB"/>
        </w:rPr>
      </w:pPr>
      <w:r w:rsidRPr="00A45B8D">
        <w:rPr>
          <w:rFonts w:cstheme="minorHAnsi"/>
          <w:sz w:val="20"/>
          <w:szCs w:val="20"/>
          <w:lang w:eastAsia="en-GB"/>
        </w:rPr>
        <w:t xml:space="preserve">Tel: (029) 20899381 Email: </w:t>
      </w:r>
      <w:hyperlink r:id="rId8" w:history="1">
        <w:r w:rsidRPr="00A45B8D">
          <w:rPr>
            <w:rStyle w:val="Hyperlink"/>
            <w:rFonts w:cstheme="minorHAnsi"/>
            <w:sz w:val="20"/>
            <w:szCs w:val="20"/>
            <w:lang w:eastAsia="en-GB"/>
          </w:rPr>
          <w:t>brotaflmcltd@brotaflmcltd.co.uk</w:t>
        </w:r>
      </w:hyperlink>
      <w:r w:rsidRPr="00A45B8D">
        <w:rPr>
          <w:rFonts w:cstheme="minorHAnsi"/>
          <w:sz w:val="20"/>
          <w:szCs w:val="20"/>
          <w:lang w:eastAsia="en-GB"/>
        </w:rPr>
        <w:t xml:space="preserve"> Website: </w:t>
      </w:r>
      <w:hyperlink r:id="rId9" w:history="1">
        <w:r w:rsidRPr="00A45B8D">
          <w:rPr>
            <w:rStyle w:val="Hyperlink"/>
            <w:rFonts w:cstheme="minorHAnsi"/>
            <w:sz w:val="20"/>
            <w:szCs w:val="20"/>
            <w:lang w:eastAsia="en-GB"/>
          </w:rPr>
          <w:t>www.brotaflmc.org.uk</w:t>
        </w:r>
      </w:hyperlink>
    </w:p>
    <w:p w14:paraId="568467E6"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457AFF7C" w14:textId="77777777" w:rsidR="00BF4FAD" w:rsidRPr="00A45B8D" w:rsidRDefault="00BF4FAD" w:rsidP="00892888">
      <w:pPr>
        <w:pStyle w:val="NoSpacing"/>
        <w:tabs>
          <w:tab w:val="left" w:pos="1134"/>
        </w:tabs>
        <w:ind w:right="-270"/>
        <w:contextualSpacing/>
        <w:jc w:val="center"/>
        <w:rPr>
          <w:rFonts w:asciiTheme="minorHAnsi" w:hAnsiTheme="minorHAnsi" w:cstheme="minorHAnsi"/>
          <w:b/>
          <w:sz w:val="32"/>
          <w:szCs w:val="32"/>
          <w:lang w:val="en-GB"/>
        </w:rPr>
      </w:pPr>
    </w:p>
    <w:p w14:paraId="3092C59C" w14:textId="04DA4AFA" w:rsidR="000C5220" w:rsidRPr="00A45B8D" w:rsidRDefault="000C5220" w:rsidP="00892888">
      <w:pPr>
        <w:pStyle w:val="NoSpacing"/>
        <w:tabs>
          <w:tab w:val="left" w:pos="1134"/>
        </w:tabs>
        <w:ind w:right="-270"/>
        <w:contextualSpacing/>
        <w:jc w:val="center"/>
        <w:rPr>
          <w:rFonts w:asciiTheme="minorHAnsi" w:hAnsiTheme="minorHAnsi" w:cstheme="minorHAnsi"/>
          <w:b/>
          <w:sz w:val="32"/>
          <w:szCs w:val="32"/>
          <w:lang w:val="en-GB"/>
        </w:rPr>
      </w:pPr>
      <w:r w:rsidRPr="00A45B8D">
        <w:rPr>
          <w:rFonts w:asciiTheme="minorHAnsi" w:hAnsiTheme="minorHAnsi" w:cstheme="minorHAnsi"/>
          <w:b/>
          <w:sz w:val="32"/>
          <w:szCs w:val="32"/>
          <w:lang w:val="en-GB"/>
        </w:rPr>
        <w:t>CARDIFF AND VALE NEWSLETTER</w:t>
      </w:r>
    </w:p>
    <w:p w14:paraId="09B3D076" w14:textId="704623B9" w:rsidR="000C5220" w:rsidRPr="00A45B8D" w:rsidRDefault="001B4E8A" w:rsidP="00892888">
      <w:pPr>
        <w:pStyle w:val="NoSpacing"/>
        <w:tabs>
          <w:tab w:val="left" w:pos="1134"/>
        </w:tabs>
        <w:ind w:right="-270"/>
        <w:contextualSpacing/>
        <w:jc w:val="center"/>
        <w:rPr>
          <w:rFonts w:asciiTheme="minorHAnsi" w:hAnsiTheme="minorHAnsi" w:cstheme="minorHAnsi"/>
          <w:b/>
          <w:sz w:val="32"/>
          <w:szCs w:val="32"/>
          <w:lang w:val="en-GB"/>
        </w:rPr>
      </w:pPr>
      <w:r>
        <w:rPr>
          <w:rFonts w:asciiTheme="minorHAnsi" w:hAnsiTheme="minorHAnsi" w:cstheme="minorHAnsi"/>
          <w:b/>
          <w:sz w:val="32"/>
          <w:szCs w:val="32"/>
          <w:lang w:val="en-GB"/>
        </w:rPr>
        <w:t>FEBRUARY 2020</w:t>
      </w:r>
    </w:p>
    <w:p w14:paraId="5250E9BA" w14:textId="77777777" w:rsidR="000C5220" w:rsidRPr="00A45B8D" w:rsidRDefault="000C5220" w:rsidP="000C5220">
      <w:pPr>
        <w:pStyle w:val="NoSpacing"/>
        <w:tabs>
          <w:tab w:val="left" w:pos="1134"/>
        </w:tabs>
        <w:ind w:right="-270"/>
        <w:contextualSpacing/>
        <w:jc w:val="center"/>
        <w:rPr>
          <w:rFonts w:asciiTheme="minorHAnsi" w:hAnsiTheme="minorHAnsi" w:cstheme="minorHAnsi"/>
          <w:b/>
          <w:sz w:val="24"/>
          <w:szCs w:val="24"/>
          <w:lang w:val="en-GB"/>
        </w:rPr>
      </w:pPr>
    </w:p>
    <w:p w14:paraId="05235A84" w14:textId="1AA80766" w:rsidR="000C5220" w:rsidRPr="00A45B8D" w:rsidRDefault="000C5220" w:rsidP="000C5220">
      <w:pPr>
        <w:pStyle w:val="NoSpacing"/>
        <w:tabs>
          <w:tab w:val="left" w:pos="1134"/>
        </w:tabs>
        <w:ind w:right="-270"/>
        <w:contextualSpacing/>
        <w:rPr>
          <w:rFonts w:asciiTheme="minorHAnsi" w:hAnsiTheme="minorHAnsi" w:cstheme="minorHAnsi"/>
          <w:b/>
          <w:sz w:val="24"/>
          <w:szCs w:val="24"/>
          <w:lang w:val="en-GB"/>
        </w:rPr>
      </w:pPr>
      <w:r w:rsidRPr="00A45B8D">
        <w:rPr>
          <w:rFonts w:asciiTheme="minorHAnsi" w:hAnsiTheme="minorHAnsi" w:cstheme="minorHAnsi"/>
          <w:b/>
          <w:sz w:val="24"/>
          <w:szCs w:val="24"/>
          <w:lang w:val="en-GB"/>
        </w:rPr>
        <w:t>INDEX</w:t>
      </w:r>
    </w:p>
    <w:p w14:paraId="3F66D3C9" w14:textId="77777777" w:rsidR="00773852" w:rsidRPr="00A45B8D" w:rsidRDefault="00773852" w:rsidP="00773852">
      <w:pPr>
        <w:tabs>
          <w:tab w:val="left" w:pos="284"/>
        </w:tabs>
        <w:spacing w:after="0" w:line="240" w:lineRule="auto"/>
        <w:ind w:left="720"/>
        <w:rPr>
          <w:rFonts w:eastAsia="Calibri" w:cstheme="minorHAnsi"/>
          <w:b/>
          <w:sz w:val="24"/>
          <w:szCs w:val="24"/>
        </w:rPr>
      </w:pPr>
    </w:p>
    <w:p w14:paraId="004DC6E0" w14:textId="023E3960" w:rsidR="00790BB7" w:rsidRPr="00790BB7" w:rsidRDefault="001B4E8A" w:rsidP="00BC6CAD">
      <w:pPr>
        <w:pStyle w:val="NoSpacing"/>
        <w:numPr>
          <w:ilvl w:val="0"/>
          <w:numId w:val="4"/>
        </w:numPr>
        <w:tabs>
          <w:tab w:val="left" w:pos="284"/>
        </w:tabs>
        <w:ind w:left="0" w:right="-472" w:firstLine="0"/>
        <w:contextualSpacing/>
        <w:rPr>
          <w:rFonts w:asciiTheme="minorHAnsi" w:hAnsiTheme="minorHAnsi" w:cstheme="minorHAnsi"/>
          <w:b/>
          <w:sz w:val="24"/>
          <w:szCs w:val="24"/>
          <w:lang w:val="en-GB"/>
        </w:rPr>
      </w:pPr>
      <w:r>
        <w:rPr>
          <w:b/>
          <w:sz w:val="24"/>
          <w:szCs w:val="24"/>
        </w:rPr>
        <w:t>MANAGEMENT OF MGUS</w:t>
      </w:r>
    </w:p>
    <w:p w14:paraId="2D52ED89" w14:textId="146E5C9C" w:rsidR="00015979" w:rsidRDefault="001B4E8A"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TRAUMA AND ORTHOPAEDICS</w:t>
      </w:r>
    </w:p>
    <w:p w14:paraId="52C81966" w14:textId="1E7691E7" w:rsidR="004B7ECF" w:rsidRDefault="00886296"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GPs REQUESTING LFTS IN CHILDREN</w:t>
      </w:r>
    </w:p>
    <w:p w14:paraId="0A0A5488" w14:textId="604CD744" w:rsidR="004B7ECF" w:rsidRDefault="009B218C"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LOSS OF E-ADVICE AFTER 90 DAYS INACTIVITY</w:t>
      </w:r>
    </w:p>
    <w:p w14:paraId="00A5A7A6" w14:textId="7AC044C4" w:rsidR="004B7ECF" w:rsidRDefault="009B218C"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CHANGE TO CMHT REFERRAL RESPONSE TIMES</w:t>
      </w:r>
    </w:p>
    <w:p w14:paraId="10459044" w14:textId="7A9963FE" w:rsidR="00BF2ADD" w:rsidRDefault="009B218C"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ALTERNATIVE TREATMENT SCHEME – TIME TAKEN FOR DECISIONS</w:t>
      </w:r>
    </w:p>
    <w:p w14:paraId="4B2DBC93" w14:textId="75ED4503" w:rsidR="00BF2ADD" w:rsidRDefault="00BF2ADD"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ACCESS STANDARDS</w:t>
      </w:r>
    </w:p>
    <w:p w14:paraId="776F9DFA" w14:textId="3EEBC0FC" w:rsidR="00042EE7" w:rsidRPr="00A45B8D" w:rsidRDefault="00042EE7" w:rsidP="00042EE7">
      <w:pPr>
        <w:pStyle w:val="NoSpacing"/>
        <w:tabs>
          <w:tab w:val="left" w:pos="284"/>
        </w:tabs>
        <w:ind w:right="-270"/>
        <w:contextualSpacing/>
        <w:rPr>
          <w:rFonts w:asciiTheme="minorHAnsi" w:hAnsiTheme="minorHAnsi" w:cstheme="minorHAnsi"/>
          <w:b/>
          <w:sz w:val="24"/>
          <w:szCs w:val="24"/>
          <w:highlight w:val="yellow"/>
          <w:lang w:val="en-GB"/>
        </w:rPr>
      </w:pPr>
    </w:p>
    <w:p w14:paraId="17940EFA" w14:textId="77777777" w:rsidR="0099783D" w:rsidRPr="00A45B8D" w:rsidRDefault="0099783D" w:rsidP="006A0EF6">
      <w:pPr>
        <w:pStyle w:val="NoSpacing"/>
        <w:tabs>
          <w:tab w:val="left" w:pos="1134"/>
        </w:tabs>
        <w:ind w:right="-270"/>
        <w:contextualSpacing/>
        <w:rPr>
          <w:rFonts w:asciiTheme="minorHAnsi" w:hAnsiTheme="minorHAnsi" w:cstheme="minorHAnsi"/>
          <w:sz w:val="24"/>
          <w:szCs w:val="24"/>
          <w:lang w:val="en-GB"/>
        </w:rPr>
      </w:pPr>
    </w:p>
    <w:p w14:paraId="41E801A3" w14:textId="068D7A7F" w:rsidR="00790BB7" w:rsidRPr="00790BB7" w:rsidRDefault="001B4E8A" w:rsidP="006A0EF6">
      <w:pPr>
        <w:pStyle w:val="NoSpacing"/>
        <w:tabs>
          <w:tab w:val="left" w:pos="284"/>
        </w:tabs>
        <w:ind w:right="-270"/>
        <w:contextualSpacing/>
        <w:rPr>
          <w:rFonts w:asciiTheme="minorHAnsi" w:hAnsiTheme="minorHAnsi" w:cstheme="minorHAnsi"/>
          <w:b/>
          <w:sz w:val="24"/>
          <w:szCs w:val="24"/>
          <w:lang w:val="en-GB"/>
        </w:rPr>
      </w:pPr>
      <w:r>
        <w:rPr>
          <w:b/>
          <w:sz w:val="24"/>
          <w:szCs w:val="24"/>
        </w:rPr>
        <w:t>MANAGEMENT OF MGUS</w:t>
      </w:r>
    </w:p>
    <w:p w14:paraId="3DE04ABF" w14:textId="77777777" w:rsidR="00773852" w:rsidRPr="00A45B8D" w:rsidRDefault="00773852" w:rsidP="006A0EF6">
      <w:pPr>
        <w:shd w:val="clear" w:color="auto" w:fill="FFFFFF"/>
        <w:spacing w:after="0" w:line="240" w:lineRule="auto"/>
        <w:rPr>
          <w:rFonts w:cstheme="minorHAnsi"/>
          <w:sz w:val="24"/>
          <w:szCs w:val="24"/>
        </w:rPr>
      </w:pPr>
    </w:p>
    <w:p w14:paraId="61A0652D" w14:textId="5A6CE3DC" w:rsidR="006A0EF6" w:rsidRPr="001B4E8A" w:rsidRDefault="001B4E8A" w:rsidP="006A0EF6">
      <w:pPr>
        <w:pStyle w:val="ListParagraph"/>
        <w:spacing w:after="0" w:line="240" w:lineRule="auto"/>
        <w:ind w:left="0"/>
        <w:contextualSpacing/>
        <w:rPr>
          <w:rFonts w:asciiTheme="minorHAnsi" w:hAnsiTheme="minorHAnsi" w:cstheme="minorHAnsi"/>
        </w:rPr>
      </w:pPr>
      <w:r w:rsidRPr="001B4E8A">
        <w:rPr>
          <w:rFonts w:asciiTheme="minorHAnsi" w:hAnsiTheme="minorHAnsi" w:cstheme="minorHAnsi"/>
          <w:lang w:val="en-GB"/>
        </w:rPr>
        <w:t>A national consultation has been raised</w:t>
      </w:r>
      <w:r>
        <w:rPr>
          <w:rFonts w:asciiTheme="minorHAnsi" w:hAnsiTheme="minorHAnsi" w:cstheme="minorHAnsi"/>
          <w:lang w:val="en-GB"/>
        </w:rPr>
        <w:t xml:space="preserve"> on the management of MGUS</w:t>
      </w:r>
      <w:r w:rsidRPr="001B4E8A">
        <w:rPr>
          <w:rFonts w:asciiTheme="minorHAnsi" w:hAnsiTheme="minorHAnsi" w:cstheme="minorHAnsi"/>
          <w:lang w:val="en-GB"/>
        </w:rPr>
        <w:t xml:space="preserve"> which suggests follow up should be conducted by primary care. The health board will be submitting enquiries regarding the support package for primary care to do so. </w:t>
      </w:r>
      <w:r>
        <w:rPr>
          <w:rFonts w:asciiTheme="minorHAnsi" w:hAnsiTheme="minorHAnsi" w:cstheme="minorHAnsi"/>
          <w:lang w:val="en-GB"/>
        </w:rPr>
        <w:t>The LMC has</w:t>
      </w:r>
      <w:r w:rsidRPr="001B4E8A">
        <w:rPr>
          <w:rFonts w:asciiTheme="minorHAnsi" w:hAnsiTheme="minorHAnsi" w:cstheme="minorHAnsi"/>
          <w:lang w:val="en-GB"/>
        </w:rPr>
        <w:t xml:space="preserve"> also raised this issue with GPC Wales. </w:t>
      </w:r>
      <w:r>
        <w:rPr>
          <w:rFonts w:asciiTheme="minorHAnsi" w:hAnsiTheme="minorHAnsi" w:cstheme="minorHAnsi"/>
          <w:lang w:val="en-GB"/>
        </w:rPr>
        <w:t xml:space="preserve">The LMC reminded the health board </w:t>
      </w:r>
      <w:r w:rsidRPr="001B4E8A">
        <w:rPr>
          <w:rFonts w:asciiTheme="minorHAnsi" w:hAnsiTheme="minorHAnsi" w:cstheme="minorHAnsi"/>
          <w:lang w:val="en-GB"/>
        </w:rPr>
        <w:t>that this service would remain voluntary for practices as it was not part of the GMS contract. This would need to be considered during any negotiations.</w:t>
      </w:r>
    </w:p>
    <w:p w14:paraId="641C082A" w14:textId="77777777" w:rsidR="00A4562F" w:rsidRPr="00DF4C7C" w:rsidRDefault="00A4562F" w:rsidP="00A4562F">
      <w:pPr>
        <w:spacing w:after="0" w:line="240" w:lineRule="auto"/>
        <w:rPr>
          <w:rFonts w:cstheme="minorHAnsi"/>
        </w:rPr>
      </w:pPr>
    </w:p>
    <w:p w14:paraId="7E1CE4B1" w14:textId="1831D914" w:rsidR="00015979" w:rsidRPr="00A45B8D" w:rsidRDefault="001B4E8A" w:rsidP="00015979">
      <w:pPr>
        <w:pStyle w:val="NoSpacing"/>
        <w:tabs>
          <w:tab w:val="left" w:pos="284"/>
        </w:tabs>
        <w:ind w:right="-270"/>
        <w:contextualSpacing/>
        <w:rPr>
          <w:rFonts w:asciiTheme="minorHAnsi" w:hAnsiTheme="minorHAnsi" w:cstheme="minorHAnsi"/>
          <w:b/>
          <w:sz w:val="24"/>
          <w:szCs w:val="24"/>
          <w:lang w:val="en-GB"/>
        </w:rPr>
      </w:pPr>
      <w:r>
        <w:rPr>
          <w:rFonts w:asciiTheme="minorHAnsi" w:hAnsiTheme="minorHAnsi" w:cstheme="minorHAnsi"/>
          <w:b/>
          <w:sz w:val="24"/>
          <w:szCs w:val="24"/>
          <w:lang w:val="en-GB"/>
        </w:rPr>
        <w:t>TRAUMA AND ORTHOPAEDICS</w:t>
      </w:r>
    </w:p>
    <w:p w14:paraId="260F3D4D" w14:textId="6E52EB61" w:rsidR="00BA027B" w:rsidRPr="00A45B8D" w:rsidRDefault="00BA027B" w:rsidP="00892888">
      <w:pPr>
        <w:pStyle w:val="NoSpacing"/>
        <w:tabs>
          <w:tab w:val="left" w:pos="1134"/>
        </w:tabs>
        <w:ind w:right="-270"/>
        <w:contextualSpacing/>
        <w:rPr>
          <w:rFonts w:asciiTheme="minorHAnsi" w:hAnsiTheme="minorHAnsi" w:cstheme="minorHAnsi"/>
          <w:b/>
          <w:sz w:val="24"/>
          <w:szCs w:val="24"/>
          <w:lang w:val="en-GB"/>
        </w:rPr>
      </w:pPr>
      <w:r w:rsidRPr="00A45B8D">
        <w:rPr>
          <w:rFonts w:asciiTheme="minorHAnsi" w:hAnsiTheme="minorHAnsi" w:cstheme="minorHAnsi"/>
          <w:b/>
          <w:sz w:val="24"/>
          <w:szCs w:val="24"/>
          <w:lang w:val="en-GB"/>
        </w:rPr>
        <w:tab/>
      </w:r>
      <w:r w:rsidRPr="00A45B8D">
        <w:rPr>
          <w:rFonts w:asciiTheme="minorHAnsi" w:hAnsiTheme="minorHAnsi" w:cstheme="minorHAnsi"/>
          <w:b/>
          <w:sz w:val="24"/>
          <w:szCs w:val="24"/>
          <w:lang w:val="en-GB"/>
        </w:rPr>
        <w:tab/>
      </w:r>
    </w:p>
    <w:p w14:paraId="6DA3700D" w14:textId="061CC7EA" w:rsidR="001B4E8A" w:rsidRPr="001B67A8" w:rsidRDefault="001B4E8A" w:rsidP="001B4E8A">
      <w:pPr>
        <w:spacing w:after="0" w:line="240" w:lineRule="auto"/>
        <w:rPr>
          <w:rFonts w:cstheme="minorHAnsi"/>
        </w:rPr>
      </w:pPr>
      <w:r w:rsidRPr="001B67A8">
        <w:rPr>
          <w:rFonts w:cstheme="minorHAnsi"/>
        </w:rPr>
        <w:t xml:space="preserve">A consultant from T&amp;O attended the meeting to discuss the interface between primary and secondary care and the on-call Trauma and Ortho service. </w:t>
      </w:r>
      <w:r w:rsidR="001B67A8">
        <w:rPr>
          <w:rFonts w:cstheme="minorHAnsi"/>
        </w:rPr>
        <w:t>The LMC raised concerns</w:t>
      </w:r>
      <w:r w:rsidRPr="001B67A8">
        <w:rPr>
          <w:rFonts w:cstheme="minorHAnsi"/>
        </w:rPr>
        <w:t xml:space="preserve"> that whilst most specialties admit patients via the bed bureau, T&amp;O do not</w:t>
      </w:r>
      <w:r w:rsidR="001B67A8">
        <w:rPr>
          <w:rFonts w:cstheme="minorHAnsi"/>
        </w:rPr>
        <w:t>,</w:t>
      </w:r>
      <w:r w:rsidRPr="001B67A8">
        <w:rPr>
          <w:rFonts w:cstheme="minorHAnsi"/>
        </w:rPr>
        <w:t xml:space="preserve"> and </w:t>
      </w:r>
      <w:r w:rsidR="001B67A8">
        <w:rPr>
          <w:rFonts w:cstheme="minorHAnsi"/>
        </w:rPr>
        <w:t>it was</w:t>
      </w:r>
      <w:r w:rsidRPr="001B67A8">
        <w:rPr>
          <w:rFonts w:cstheme="minorHAnsi"/>
        </w:rPr>
        <w:t xml:space="preserve"> often difficult to reach </w:t>
      </w:r>
      <w:r w:rsidR="001B67A8">
        <w:rPr>
          <w:rFonts w:cstheme="minorHAnsi"/>
        </w:rPr>
        <w:t>the</w:t>
      </w:r>
      <w:r w:rsidRPr="001B67A8">
        <w:rPr>
          <w:rFonts w:cstheme="minorHAnsi"/>
        </w:rPr>
        <w:t xml:space="preserve"> on-call</w:t>
      </w:r>
      <w:r w:rsidR="001B67A8">
        <w:rPr>
          <w:rFonts w:cstheme="minorHAnsi"/>
        </w:rPr>
        <w:t xml:space="preserve"> doctor</w:t>
      </w:r>
      <w:r w:rsidRPr="001B67A8">
        <w:rPr>
          <w:rFonts w:cstheme="minorHAnsi"/>
        </w:rPr>
        <w:t>.</w:t>
      </w:r>
    </w:p>
    <w:p w14:paraId="320E8DA6" w14:textId="77777777" w:rsidR="001B4E8A" w:rsidRPr="001B67A8" w:rsidRDefault="001B4E8A" w:rsidP="001B4E8A">
      <w:pPr>
        <w:spacing w:after="0" w:line="240" w:lineRule="auto"/>
        <w:rPr>
          <w:rFonts w:cstheme="minorHAnsi"/>
        </w:rPr>
      </w:pPr>
    </w:p>
    <w:p w14:paraId="735CD492" w14:textId="18AB959C" w:rsidR="001B4E8A" w:rsidRPr="001B67A8" w:rsidRDefault="001B4E8A" w:rsidP="001B4E8A">
      <w:pPr>
        <w:spacing w:after="0" w:line="240" w:lineRule="auto"/>
        <w:rPr>
          <w:rFonts w:cstheme="minorHAnsi"/>
        </w:rPr>
      </w:pPr>
      <w:r w:rsidRPr="001B67A8">
        <w:rPr>
          <w:rFonts w:cstheme="minorHAnsi"/>
        </w:rPr>
        <w:t xml:space="preserve">T&amp;O previously had difficulties admitting via the bed bureau as this led to being overwhelmed with patients with back pain, this was therefore not a good option for them. </w:t>
      </w:r>
      <w:r w:rsidR="001B67A8">
        <w:rPr>
          <w:rFonts w:cstheme="minorHAnsi"/>
        </w:rPr>
        <w:t>They were</w:t>
      </w:r>
      <w:r w:rsidRPr="001B67A8">
        <w:rPr>
          <w:rFonts w:cstheme="minorHAnsi"/>
        </w:rPr>
        <w:t xml:space="preserve"> aware of issues contacting trauma due to the outdated bleep system. Alternatives such as mobile phones and texting had been tried but were deemed unsuccessful. Voice pagers were now being trialled which would send the registrar an audible message from the switchboard. For urgent enquiries in</w:t>
      </w:r>
      <w:r w:rsidR="001B67A8">
        <w:rPr>
          <w:rFonts w:cstheme="minorHAnsi"/>
        </w:rPr>
        <w:t>-</w:t>
      </w:r>
      <w:r w:rsidRPr="001B67A8">
        <w:rPr>
          <w:rFonts w:cstheme="minorHAnsi"/>
        </w:rPr>
        <w:t>hours a post op number had been disseminated which patients could call within 6 weeks of discharge. This would enable patients to speak directly to the T&amp;O team rather than requiring a referral via their GP.</w:t>
      </w:r>
    </w:p>
    <w:p w14:paraId="4B53D8E1" w14:textId="77777777" w:rsidR="001B4E8A" w:rsidRDefault="001B4E8A" w:rsidP="001B4E8A">
      <w:pPr>
        <w:spacing w:after="0" w:line="240" w:lineRule="auto"/>
        <w:rPr>
          <w:rFonts w:ascii="Arial" w:hAnsi="Arial" w:cs="Arial"/>
        </w:rPr>
      </w:pPr>
    </w:p>
    <w:p w14:paraId="16D7D057" w14:textId="77777777" w:rsidR="001B4E8A" w:rsidRDefault="001B4E8A" w:rsidP="001B4E8A">
      <w:pPr>
        <w:spacing w:after="0" w:line="240" w:lineRule="auto"/>
        <w:rPr>
          <w:rFonts w:ascii="Arial" w:hAnsi="Arial" w:cs="Arial"/>
        </w:rPr>
      </w:pPr>
    </w:p>
    <w:p w14:paraId="70604822" w14:textId="64CAEA59" w:rsidR="001B4E8A" w:rsidRDefault="001B67A8" w:rsidP="001B4E8A">
      <w:pPr>
        <w:spacing w:after="0" w:line="240" w:lineRule="auto"/>
        <w:rPr>
          <w:rFonts w:cstheme="minorHAnsi"/>
        </w:rPr>
      </w:pPr>
      <w:r w:rsidRPr="001B67A8">
        <w:rPr>
          <w:rFonts w:cstheme="minorHAnsi"/>
        </w:rPr>
        <w:lastRenderedPageBreak/>
        <w:t>T</w:t>
      </w:r>
      <w:r w:rsidR="001B4E8A" w:rsidRPr="001B67A8">
        <w:rPr>
          <w:rFonts w:cstheme="minorHAnsi"/>
        </w:rPr>
        <w:t xml:space="preserve">here would </w:t>
      </w:r>
      <w:r w:rsidRPr="001B67A8">
        <w:rPr>
          <w:rFonts w:cstheme="minorHAnsi"/>
        </w:rPr>
        <w:t xml:space="preserve">soon </w:t>
      </w:r>
      <w:r w:rsidR="001B4E8A" w:rsidRPr="001B67A8">
        <w:rPr>
          <w:rFonts w:cstheme="minorHAnsi"/>
        </w:rPr>
        <w:t xml:space="preserve">also be a direct contact number for the fracture clinic for GPs to get their patients seen quickly (same day or next day). The T&amp;O team would </w:t>
      </w:r>
      <w:r w:rsidRPr="001B67A8">
        <w:rPr>
          <w:rFonts w:cstheme="minorHAnsi"/>
        </w:rPr>
        <w:t xml:space="preserve">also </w:t>
      </w:r>
      <w:r w:rsidR="001B4E8A" w:rsidRPr="001B67A8">
        <w:rPr>
          <w:rFonts w:cstheme="minorHAnsi"/>
        </w:rPr>
        <w:t>conduct an audit of the demand.</w:t>
      </w:r>
      <w:r w:rsidRPr="001B67A8">
        <w:rPr>
          <w:rFonts w:cstheme="minorHAnsi"/>
        </w:rPr>
        <w:t xml:space="preserve"> The fracture clinic direct dial number would be supplied as soon as available</w:t>
      </w:r>
      <w:r>
        <w:rPr>
          <w:rFonts w:cstheme="minorHAnsi"/>
        </w:rPr>
        <w:t>.</w:t>
      </w:r>
    </w:p>
    <w:p w14:paraId="578D5383" w14:textId="63C9BA1B" w:rsidR="001B67A8" w:rsidRDefault="001B67A8" w:rsidP="001B4E8A">
      <w:pPr>
        <w:spacing w:after="0" w:line="240" w:lineRule="auto"/>
        <w:rPr>
          <w:rFonts w:cstheme="minorHAnsi"/>
        </w:rPr>
      </w:pPr>
    </w:p>
    <w:p w14:paraId="06BADBDA" w14:textId="3281A44C" w:rsidR="001B67A8" w:rsidRDefault="001B67A8" w:rsidP="001B67A8">
      <w:r>
        <w:rPr>
          <w:rFonts w:cstheme="minorHAnsi"/>
        </w:rPr>
        <w:t xml:space="preserve">The telephone number to reach T&amp;O is </w:t>
      </w:r>
      <w:r>
        <w:t>07779451774. It is a 24/7 number and is carried by the Orthopaedic Fellow covering Llandough.</w:t>
      </w:r>
    </w:p>
    <w:p w14:paraId="47039D78" w14:textId="03B7A5C2" w:rsidR="005D7B97" w:rsidRPr="00A45B8D" w:rsidRDefault="00886296" w:rsidP="00370BF8">
      <w:pPr>
        <w:pStyle w:val="NoSpacing"/>
        <w:tabs>
          <w:tab w:val="left" w:pos="1134"/>
        </w:tabs>
        <w:contextualSpacing/>
        <w:rPr>
          <w:rFonts w:asciiTheme="minorHAnsi" w:hAnsiTheme="minorHAnsi" w:cstheme="minorHAnsi"/>
          <w:sz w:val="24"/>
          <w:szCs w:val="24"/>
          <w:lang w:val="en-GB"/>
        </w:rPr>
      </w:pPr>
      <w:r>
        <w:rPr>
          <w:rFonts w:asciiTheme="minorHAnsi" w:hAnsiTheme="minorHAnsi" w:cstheme="minorHAnsi"/>
          <w:b/>
          <w:sz w:val="24"/>
          <w:szCs w:val="24"/>
          <w:lang w:val="en-GB"/>
        </w:rPr>
        <w:t>GPs REQUESTING LFTS IN CHILDREN</w:t>
      </w:r>
    </w:p>
    <w:p w14:paraId="4ABDA646" w14:textId="68A0AAF6" w:rsidR="005D7B97" w:rsidRPr="00A45B8D" w:rsidRDefault="005D7B97" w:rsidP="00370BF8">
      <w:pPr>
        <w:pStyle w:val="NoSpacing"/>
        <w:tabs>
          <w:tab w:val="left" w:pos="1134"/>
        </w:tabs>
        <w:contextualSpacing/>
        <w:rPr>
          <w:rFonts w:asciiTheme="minorHAnsi" w:hAnsiTheme="minorHAnsi" w:cstheme="minorHAnsi"/>
          <w:sz w:val="24"/>
          <w:szCs w:val="24"/>
          <w:lang w:val="en-GB"/>
        </w:rPr>
      </w:pPr>
    </w:p>
    <w:p w14:paraId="50C44690" w14:textId="6523B5B6" w:rsidR="00886296" w:rsidRPr="00886296" w:rsidRDefault="00886296" w:rsidP="00886296">
      <w:pPr>
        <w:spacing w:after="0" w:line="240" w:lineRule="auto"/>
        <w:rPr>
          <w:rFonts w:cstheme="minorHAnsi"/>
        </w:rPr>
      </w:pPr>
      <w:r w:rsidRPr="00886296">
        <w:rPr>
          <w:rFonts w:cstheme="minorHAnsi"/>
        </w:rPr>
        <w:t>An email had been received from the Consultant Paediatric Gastroenterologist who complained that the number of LFTs ordered for Children was too high. The LMC members had conducted audits in their respective practices and found that the numbers they identified were nowhere near what had been stated in the email. Both audits identified that the majority of requests for LFTs in children were done by registrars. Some requests were also sent by parental request. The LMC noted that this had been helpful in raising a training issue and suggested that the health board speak to the GP training directors to seek the opportunity to brief trainees on this issue.</w:t>
      </w:r>
    </w:p>
    <w:p w14:paraId="43FA2B0C" w14:textId="77777777" w:rsidR="00DF4C7C" w:rsidRPr="00DF4C7C" w:rsidRDefault="00DF4C7C" w:rsidP="00DF4C7C">
      <w:pPr>
        <w:spacing w:after="0" w:line="240" w:lineRule="auto"/>
        <w:rPr>
          <w:rFonts w:cstheme="minorHAnsi"/>
        </w:rPr>
      </w:pPr>
    </w:p>
    <w:p w14:paraId="65F58599" w14:textId="1CBC0D52" w:rsidR="00015979" w:rsidRPr="00A45B8D" w:rsidRDefault="009B218C" w:rsidP="00015979">
      <w:pPr>
        <w:pStyle w:val="NoSpacing"/>
        <w:tabs>
          <w:tab w:val="left" w:pos="284"/>
        </w:tabs>
        <w:ind w:right="-270"/>
        <w:contextualSpacing/>
        <w:rPr>
          <w:rFonts w:asciiTheme="minorHAnsi" w:hAnsiTheme="minorHAnsi" w:cstheme="minorHAnsi"/>
          <w:b/>
          <w:sz w:val="24"/>
          <w:szCs w:val="24"/>
          <w:lang w:val="en-GB"/>
        </w:rPr>
      </w:pPr>
      <w:r>
        <w:rPr>
          <w:rFonts w:asciiTheme="minorHAnsi" w:hAnsiTheme="minorHAnsi" w:cstheme="minorHAnsi"/>
          <w:b/>
          <w:sz w:val="24"/>
          <w:szCs w:val="24"/>
          <w:lang w:val="en-GB"/>
        </w:rPr>
        <w:t>LOSS OF E-ADVICE AFTER 90 DAYS INACTIVITY</w:t>
      </w:r>
    </w:p>
    <w:p w14:paraId="52FB2B17" w14:textId="77777777" w:rsidR="001422DA" w:rsidRPr="00A45B8D" w:rsidRDefault="001422DA" w:rsidP="00370BF8">
      <w:pPr>
        <w:tabs>
          <w:tab w:val="left" w:pos="567"/>
          <w:tab w:val="left" w:pos="1134"/>
        </w:tabs>
        <w:spacing w:after="0" w:line="240" w:lineRule="auto"/>
        <w:contextualSpacing/>
        <w:rPr>
          <w:rFonts w:cstheme="minorHAnsi"/>
          <w:sz w:val="24"/>
          <w:szCs w:val="24"/>
        </w:rPr>
      </w:pPr>
    </w:p>
    <w:p w14:paraId="0611F71C" w14:textId="3724A3AA" w:rsidR="009B218C" w:rsidRDefault="009B218C" w:rsidP="009B218C">
      <w:pPr>
        <w:spacing w:after="0" w:line="240" w:lineRule="auto"/>
        <w:rPr>
          <w:rFonts w:ascii="Arial" w:hAnsi="Arial" w:cs="Arial"/>
        </w:rPr>
      </w:pPr>
      <w:r w:rsidRPr="009B218C">
        <w:rPr>
          <w:rFonts w:cstheme="minorHAnsi"/>
        </w:rPr>
        <w:t>A complaint had been received from a GP that their e-advice account had been locked to due to 90 days inactivity. The GP was told by C&amp;V IM&amp;T that this was both UHB and Welsh Govt policy. The LMC Office has requested further information on the policies in order to investigate</w:t>
      </w:r>
      <w:r>
        <w:rPr>
          <w:rFonts w:ascii="Arial" w:hAnsi="Arial" w:cs="Arial"/>
        </w:rPr>
        <w:t>.</w:t>
      </w:r>
    </w:p>
    <w:p w14:paraId="082898C0" w14:textId="77777777" w:rsidR="005435F3" w:rsidRPr="00A45B8D" w:rsidRDefault="005435F3" w:rsidP="00370BF8">
      <w:pPr>
        <w:tabs>
          <w:tab w:val="left" w:pos="567"/>
          <w:tab w:val="left" w:pos="1134"/>
        </w:tabs>
        <w:spacing w:after="0" w:line="240" w:lineRule="auto"/>
        <w:contextualSpacing/>
        <w:rPr>
          <w:rFonts w:cstheme="minorHAnsi"/>
          <w:sz w:val="24"/>
          <w:szCs w:val="24"/>
        </w:rPr>
      </w:pPr>
    </w:p>
    <w:p w14:paraId="7F322113" w14:textId="035C1302" w:rsidR="001422DA" w:rsidRPr="00A45B8D" w:rsidRDefault="009B218C" w:rsidP="00370BF8">
      <w:pPr>
        <w:tabs>
          <w:tab w:val="left" w:pos="567"/>
          <w:tab w:val="left" w:pos="1134"/>
        </w:tabs>
        <w:spacing w:after="0" w:line="240" w:lineRule="auto"/>
        <w:contextualSpacing/>
        <w:rPr>
          <w:rFonts w:cstheme="minorHAnsi"/>
          <w:sz w:val="24"/>
          <w:szCs w:val="24"/>
        </w:rPr>
      </w:pPr>
      <w:r>
        <w:rPr>
          <w:rFonts w:cstheme="minorHAnsi"/>
          <w:b/>
          <w:sz w:val="24"/>
          <w:szCs w:val="24"/>
        </w:rPr>
        <w:t>CHANGE TO CMHT REFERRAL RESPONSE TIMES</w:t>
      </w:r>
    </w:p>
    <w:p w14:paraId="412BD030" w14:textId="77777777" w:rsidR="001422DA" w:rsidRPr="00A45B8D" w:rsidRDefault="001422DA" w:rsidP="00370BF8">
      <w:pPr>
        <w:tabs>
          <w:tab w:val="left" w:pos="567"/>
          <w:tab w:val="left" w:pos="1134"/>
        </w:tabs>
        <w:spacing w:after="0" w:line="240" w:lineRule="auto"/>
        <w:contextualSpacing/>
        <w:rPr>
          <w:rFonts w:cstheme="minorHAnsi"/>
          <w:sz w:val="24"/>
          <w:szCs w:val="24"/>
        </w:rPr>
      </w:pPr>
    </w:p>
    <w:p w14:paraId="7E51F25D" w14:textId="77777777" w:rsidR="009B218C" w:rsidRPr="009B218C" w:rsidRDefault="009B218C" w:rsidP="009B218C">
      <w:pPr>
        <w:spacing w:after="0" w:line="240" w:lineRule="auto"/>
        <w:rPr>
          <w:rFonts w:cstheme="minorHAnsi"/>
        </w:rPr>
      </w:pPr>
      <w:r w:rsidRPr="009B218C">
        <w:rPr>
          <w:rFonts w:cstheme="minorHAnsi"/>
        </w:rPr>
        <w:t>The CMHT had sent an email to practices stating that they were reviewing their operational procedures and seeking views on changing current response times. Suggested changes were:</w:t>
      </w:r>
    </w:p>
    <w:p w14:paraId="28CBD44B" w14:textId="77777777" w:rsidR="009B218C" w:rsidRPr="009B218C" w:rsidRDefault="009B218C" w:rsidP="009B218C">
      <w:pPr>
        <w:spacing w:after="0" w:line="240" w:lineRule="auto"/>
        <w:rPr>
          <w:rFonts w:cstheme="minorHAnsi"/>
        </w:rPr>
      </w:pPr>
    </w:p>
    <w:p w14:paraId="2E9C1A7D" w14:textId="77777777" w:rsidR="009B218C" w:rsidRPr="009B218C" w:rsidRDefault="009B218C" w:rsidP="009B218C">
      <w:pPr>
        <w:spacing w:after="0" w:line="240" w:lineRule="auto"/>
        <w:rPr>
          <w:rFonts w:cstheme="minorHAnsi"/>
        </w:rPr>
      </w:pPr>
      <w:r w:rsidRPr="009B218C">
        <w:rPr>
          <w:rFonts w:cstheme="minorHAnsi"/>
        </w:rPr>
        <w:t>Emergency: assessed within 4 hours changes to within the same working day</w:t>
      </w:r>
    </w:p>
    <w:p w14:paraId="35B0EDB3" w14:textId="77777777" w:rsidR="009B218C" w:rsidRPr="009B218C" w:rsidRDefault="009B218C" w:rsidP="009B218C">
      <w:pPr>
        <w:spacing w:after="0" w:line="240" w:lineRule="auto"/>
        <w:rPr>
          <w:rFonts w:cstheme="minorHAnsi"/>
        </w:rPr>
      </w:pPr>
      <w:r w:rsidRPr="009B218C">
        <w:rPr>
          <w:rFonts w:cstheme="minorHAnsi"/>
        </w:rPr>
        <w:t>Urgent: assessed within 48 hours changes to up to 5 working days</w:t>
      </w:r>
    </w:p>
    <w:p w14:paraId="5F9BC005" w14:textId="77777777" w:rsidR="009B218C" w:rsidRPr="009B218C" w:rsidRDefault="009B218C" w:rsidP="009B218C">
      <w:pPr>
        <w:spacing w:after="0" w:line="240" w:lineRule="auto"/>
        <w:rPr>
          <w:rFonts w:cstheme="minorHAnsi"/>
        </w:rPr>
      </w:pPr>
      <w:r w:rsidRPr="009B218C">
        <w:rPr>
          <w:rFonts w:cstheme="minorHAnsi"/>
        </w:rPr>
        <w:t>Routine: assessed within 28 days to up to 28 working days.</w:t>
      </w:r>
    </w:p>
    <w:p w14:paraId="75227168" w14:textId="77777777" w:rsidR="009B218C" w:rsidRPr="009B218C" w:rsidRDefault="009B218C" w:rsidP="009B218C">
      <w:pPr>
        <w:spacing w:after="0" w:line="240" w:lineRule="auto"/>
        <w:rPr>
          <w:rFonts w:cstheme="minorHAnsi"/>
        </w:rPr>
      </w:pPr>
    </w:p>
    <w:p w14:paraId="45658AB5" w14:textId="764D589A" w:rsidR="009B218C" w:rsidRPr="009B218C" w:rsidRDefault="009B218C" w:rsidP="009B218C">
      <w:pPr>
        <w:spacing w:after="0" w:line="240" w:lineRule="auto"/>
        <w:rPr>
          <w:rFonts w:cstheme="minorHAnsi"/>
        </w:rPr>
      </w:pPr>
      <w:r w:rsidRPr="009B218C">
        <w:rPr>
          <w:rFonts w:cstheme="minorHAnsi"/>
        </w:rPr>
        <w:t>the LMC DOES not support these changes and enquired that if the guidelines were set out in the national mental health measure then how could they be amended locally? The health board agreed to liaise with CMHT on these changes.</w:t>
      </w:r>
    </w:p>
    <w:p w14:paraId="497DBC72" w14:textId="33426F49" w:rsidR="007B40A5" w:rsidRPr="00A45B8D" w:rsidRDefault="007B40A5" w:rsidP="00370BF8">
      <w:pPr>
        <w:spacing w:after="0" w:line="240" w:lineRule="auto"/>
        <w:rPr>
          <w:rFonts w:cstheme="minorHAnsi"/>
          <w:sz w:val="24"/>
          <w:szCs w:val="24"/>
        </w:rPr>
      </w:pPr>
    </w:p>
    <w:p w14:paraId="22923DAA" w14:textId="3AA0EE84" w:rsidR="002A146D" w:rsidRPr="00A45B8D" w:rsidRDefault="009B218C" w:rsidP="00370BF8">
      <w:pPr>
        <w:spacing w:after="0" w:line="240" w:lineRule="auto"/>
        <w:rPr>
          <w:rFonts w:cstheme="minorHAnsi"/>
          <w:sz w:val="24"/>
          <w:szCs w:val="24"/>
        </w:rPr>
      </w:pPr>
      <w:r>
        <w:rPr>
          <w:rFonts w:cstheme="minorHAnsi"/>
          <w:b/>
          <w:sz w:val="24"/>
          <w:szCs w:val="24"/>
        </w:rPr>
        <w:t>ALTERNATIVE TREATMENT SCHEME – TIME TAKEN FOR DECISIONS</w:t>
      </w:r>
    </w:p>
    <w:p w14:paraId="51377CA1" w14:textId="58B50846" w:rsidR="002A146D" w:rsidRPr="00A45B8D" w:rsidRDefault="002A146D" w:rsidP="00370BF8">
      <w:pPr>
        <w:spacing w:after="0" w:line="240" w:lineRule="auto"/>
        <w:rPr>
          <w:rFonts w:cstheme="minorHAnsi"/>
          <w:sz w:val="24"/>
          <w:szCs w:val="24"/>
        </w:rPr>
      </w:pPr>
    </w:p>
    <w:p w14:paraId="3F7F89EC" w14:textId="4F997726" w:rsidR="00C27F8A" w:rsidRPr="00C27F8A" w:rsidRDefault="00C27F8A" w:rsidP="00C27F8A">
      <w:pPr>
        <w:spacing w:after="0" w:line="240" w:lineRule="auto"/>
        <w:rPr>
          <w:rFonts w:cstheme="minorHAnsi"/>
        </w:rPr>
      </w:pPr>
      <w:r w:rsidRPr="00C27F8A">
        <w:rPr>
          <w:rFonts w:cstheme="minorHAnsi"/>
        </w:rPr>
        <w:t xml:space="preserve">The LMC had received complaints from a couple of practices regarding the time taken to reach a decision to place patients in the Alternative Treatment Scheme. </w:t>
      </w:r>
      <w:r>
        <w:rPr>
          <w:rFonts w:cstheme="minorHAnsi"/>
        </w:rPr>
        <w:t>The health board</w:t>
      </w:r>
      <w:r w:rsidRPr="00C27F8A">
        <w:rPr>
          <w:rFonts w:cstheme="minorHAnsi"/>
        </w:rPr>
        <w:t xml:space="preserve"> confirmed that there is a national ATS protocol developed by NWSSP.  The service in Cardiff and Vale is managed by the Cardiff South and East Locality.  </w:t>
      </w:r>
      <w:r>
        <w:rPr>
          <w:rFonts w:cstheme="minorHAnsi"/>
        </w:rPr>
        <w:t>The health board</w:t>
      </w:r>
      <w:r w:rsidRPr="00C27F8A">
        <w:rPr>
          <w:rFonts w:cstheme="minorHAnsi"/>
        </w:rPr>
        <w:t xml:space="preserve"> w</w:t>
      </w:r>
      <w:r>
        <w:rPr>
          <w:rFonts w:cstheme="minorHAnsi"/>
        </w:rPr>
        <w:t>ere</w:t>
      </w:r>
      <w:r w:rsidRPr="00C27F8A">
        <w:rPr>
          <w:rFonts w:cstheme="minorHAnsi"/>
        </w:rPr>
        <w:t xml:space="preserve"> currently reviewing the processes within Cardiff South and East Locality in order to streamline the service. </w:t>
      </w:r>
      <w:r>
        <w:rPr>
          <w:rFonts w:cstheme="minorHAnsi"/>
        </w:rPr>
        <w:t>The LMC</w:t>
      </w:r>
      <w:r w:rsidRPr="00C27F8A">
        <w:rPr>
          <w:rFonts w:cstheme="minorHAnsi"/>
        </w:rPr>
        <w:t xml:space="preserve"> also requested that PCIC look at how patients who may be referred to equivalent schemes in other areas of Wales are flagged to practices if these patients attempt to access their services.  </w:t>
      </w:r>
      <w:r>
        <w:rPr>
          <w:rFonts w:cstheme="minorHAnsi"/>
        </w:rPr>
        <w:t>The health board agreed to</w:t>
      </w:r>
      <w:r w:rsidRPr="00C27F8A">
        <w:rPr>
          <w:rFonts w:cstheme="minorHAnsi"/>
        </w:rPr>
        <w:t xml:space="preserve"> check and discuss this with SSP.</w:t>
      </w:r>
    </w:p>
    <w:p w14:paraId="38942360" w14:textId="261DDF8F" w:rsidR="00C837F6" w:rsidRDefault="00C837F6" w:rsidP="007B40A5">
      <w:pPr>
        <w:spacing w:after="0" w:line="240" w:lineRule="auto"/>
        <w:rPr>
          <w:rFonts w:cstheme="minorHAnsi"/>
        </w:rPr>
      </w:pPr>
    </w:p>
    <w:p w14:paraId="037CD879" w14:textId="7EC7EB93" w:rsidR="00BF2ADD" w:rsidRDefault="00BF2ADD" w:rsidP="00503491">
      <w:pPr>
        <w:spacing w:after="0" w:line="240" w:lineRule="auto"/>
        <w:rPr>
          <w:rFonts w:cstheme="minorHAnsi"/>
          <w:b/>
          <w:bCs/>
          <w:sz w:val="24"/>
          <w:szCs w:val="24"/>
        </w:rPr>
      </w:pPr>
      <w:r w:rsidRPr="00BF2ADD">
        <w:rPr>
          <w:rFonts w:cstheme="minorHAnsi"/>
          <w:b/>
          <w:bCs/>
          <w:sz w:val="24"/>
          <w:szCs w:val="24"/>
        </w:rPr>
        <w:t>ACCESS STANDARDS</w:t>
      </w:r>
    </w:p>
    <w:p w14:paraId="56A56CE6" w14:textId="234F8F32" w:rsidR="00BF2ADD" w:rsidRDefault="00BF2ADD" w:rsidP="00503491">
      <w:pPr>
        <w:spacing w:after="0" w:line="240" w:lineRule="auto"/>
        <w:rPr>
          <w:rFonts w:cstheme="minorHAnsi"/>
          <w:b/>
          <w:bCs/>
          <w:sz w:val="24"/>
          <w:szCs w:val="24"/>
        </w:rPr>
      </w:pPr>
    </w:p>
    <w:p w14:paraId="265A59EE" w14:textId="5CDC0E47" w:rsidR="00C27F8A" w:rsidRPr="00C27F8A" w:rsidRDefault="00C27F8A" w:rsidP="00C27F8A">
      <w:pPr>
        <w:spacing w:after="0" w:line="240" w:lineRule="auto"/>
        <w:rPr>
          <w:rFonts w:cstheme="minorHAnsi"/>
        </w:rPr>
      </w:pPr>
      <w:r>
        <w:rPr>
          <w:rFonts w:cstheme="minorHAnsi"/>
        </w:rPr>
        <w:t>The</w:t>
      </w:r>
      <w:r w:rsidRPr="00C27F8A">
        <w:rPr>
          <w:rFonts w:cstheme="minorHAnsi"/>
        </w:rPr>
        <w:t xml:space="preserve"> reported that a letter had been sent to all practices last week containing guidance on the current situation in regard to how the standards would be monitored at the end of March 2020. The </w:t>
      </w:r>
      <w:r w:rsidRPr="00C27F8A">
        <w:rPr>
          <w:rFonts w:cstheme="minorHAnsi"/>
        </w:rPr>
        <w:lastRenderedPageBreak/>
        <w:t>LMC were reminded of the letter contents advising practices that although the date for implementation of the standards was set at the end of March 2021, if practices are to receive reimbursement at the end of 2019/20 then practices were expected to show achievement by this date.  Welsh Government ha</w:t>
      </w:r>
      <w:r>
        <w:rPr>
          <w:rFonts w:cstheme="minorHAnsi"/>
        </w:rPr>
        <w:t>d</w:t>
      </w:r>
      <w:r w:rsidRPr="00C27F8A">
        <w:rPr>
          <w:rFonts w:cstheme="minorHAnsi"/>
        </w:rPr>
        <w:t xml:space="preserve"> updated the guidance to clarify that payment is based on achievement only.  </w:t>
      </w:r>
      <w:r>
        <w:rPr>
          <w:rFonts w:cstheme="minorHAnsi"/>
        </w:rPr>
        <w:t>The health board also</w:t>
      </w:r>
      <w:r w:rsidRPr="00C27F8A">
        <w:rPr>
          <w:rFonts w:cstheme="minorHAnsi"/>
        </w:rPr>
        <w:t xml:space="preserve"> advised that practices were free to devise their own questionnaires to show compliance and agreed for practices to use any survey such as HIW or CHC which had been conducted within the last 12 months.  The next Access Board is to take place on February 5</w:t>
      </w:r>
      <w:r w:rsidRPr="00C27F8A">
        <w:rPr>
          <w:rFonts w:cstheme="minorHAnsi"/>
          <w:vertAlign w:val="superscript"/>
        </w:rPr>
        <w:t>th</w:t>
      </w:r>
      <w:r w:rsidRPr="00C27F8A">
        <w:rPr>
          <w:rFonts w:cstheme="minorHAnsi"/>
        </w:rPr>
        <w:t xml:space="preserve"> where progress on</w:t>
      </w:r>
      <w:r>
        <w:rPr>
          <w:rFonts w:cstheme="minorHAnsi"/>
        </w:rPr>
        <w:t xml:space="preserve"> a</w:t>
      </w:r>
      <w:r w:rsidRPr="00C27F8A">
        <w:rPr>
          <w:rFonts w:cstheme="minorHAnsi"/>
        </w:rPr>
        <w:t xml:space="preserve"> template would be discussed further.</w:t>
      </w:r>
    </w:p>
    <w:p w14:paraId="29321707" w14:textId="01AA334D" w:rsidR="00335D6D" w:rsidRDefault="00335D6D" w:rsidP="00503491">
      <w:pPr>
        <w:spacing w:after="0" w:line="240" w:lineRule="auto"/>
        <w:rPr>
          <w:rFonts w:cstheme="minorHAnsi"/>
        </w:rPr>
      </w:pPr>
      <w:bookmarkStart w:id="0" w:name="_GoBack"/>
      <w:bookmarkEnd w:id="0"/>
    </w:p>
    <w:p w14:paraId="0CE97559" w14:textId="77777777" w:rsidR="005435F3" w:rsidRDefault="005435F3" w:rsidP="005435F3">
      <w:pPr>
        <w:spacing w:after="0" w:line="240" w:lineRule="auto"/>
        <w:rPr>
          <w:rFonts w:ascii="Arial" w:hAnsi="Arial" w:cs="Arial"/>
        </w:rPr>
      </w:pPr>
    </w:p>
    <w:sectPr w:rsidR="005435F3" w:rsidSect="00892888">
      <w:footerReference w:type="default" r:id="rId10"/>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A705" w14:textId="77777777" w:rsidR="00D52E5C" w:rsidRDefault="00D52E5C" w:rsidP="00892888">
      <w:pPr>
        <w:spacing w:after="0" w:line="240" w:lineRule="auto"/>
      </w:pPr>
      <w:r>
        <w:separator/>
      </w:r>
    </w:p>
  </w:endnote>
  <w:endnote w:type="continuationSeparator" w:id="0">
    <w:p w14:paraId="5E5DE68C" w14:textId="77777777" w:rsidR="00D52E5C" w:rsidRDefault="00D52E5C" w:rsidP="0089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224096"/>
      <w:docPartObj>
        <w:docPartGallery w:val="Page Numbers (Bottom of Page)"/>
        <w:docPartUnique/>
      </w:docPartObj>
    </w:sdtPr>
    <w:sdtEndPr>
      <w:rPr>
        <w:color w:val="7F7F7F" w:themeColor="background1" w:themeShade="7F"/>
        <w:spacing w:val="60"/>
        <w:sz w:val="18"/>
        <w:szCs w:val="18"/>
      </w:rPr>
    </w:sdtEndPr>
    <w:sdtContent>
      <w:p w14:paraId="7FD045F0" w14:textId="228296F4" w:rsidR="00D52E5C" w:rsidRPr="00DB74AF" w:rsidRDefault="00D52E5C" w:rsidP="00892888">
        <w:pPr>
          <w:pStyle w:val="Footer"/>
          <w:pBdr>
            <w:top w:val="single" w:sz="4" w:space="1" w:color="D9D9D9" w:themeColor="background1" w:themeShade="D9"/>
          </w:pBdr>
          <w:rPr>
            <w:sz w:val="18"/>
            <w:szCs w:val="18"/>
          </w:rPr>
        </w:pPr>
        <w:r w:rsidRPr="00DB74AF">
          <w:rPr>
            <w:rFonts w:ascii="Arial" w:hAnsi="Arial" w:cs="Arial"/>
            <w:sz w:val="18"/>
            <w:szCs w:val="18"/>
          </w:rPr>
          <w:t xml:space="preserve">Cardiff &amp; Vale of Glamorgan GPs Newsletter: </w:t>
        </w:r>
        <w:r w:rsidR="001B4E8A">
          <w:rPr>
            <w:rFonts w:ascii="Arial" w:hAnsi="Arial" w:cs="Arial"/>
            <w:sz w:val="18"/>
            <w:szCs w:val="18"/>
          </w:rPr>
          <w:t>February 2020</w:t>
        </w:r>
        <w:r w:rsidRPr="00DB74AF">
          <w:rPr>
            <w:sz w:val="18"/>
            <w:szCs w:val="18"/>
          </w:rPr>
          <w:t xml:space="preserve"> </w:t>
        </w:r>
        <w:r w:rsidR="00DB74AF">
          <w:rPr>
            <w:sz w:val="18"/>
            <w:szCs w:val="18"/>
          </w:rPr>
          <w:tab/>
        </w:r>
        <w:r w:rsidRPr="00DB74AF">
          <w:rPr>
            <w:rFonts w:ascii="Arial" w:hAnsi="Arial" w:cs="Arial"/>
            <w:sz w:val="18"/>
            <w:szCs w:val="18"/>
          </w:rPr>
          <w:fldChar w:fldCharType="begin"/>
        </w:r>
        <w:r w:rsidRPr="00DB74AF">
          <w:rPr>
            <w:rFonts w:ascii="Arial" w:hAnsi="Arial" w:cs="Arial"/>
            <w:sz w:val="18"/>
            <w:szCs w:val="18"/>
          </w:rPr>
          <w:instrText xml:space="preserve"> PAGE   \* MERGEFORMAT </w:instrText>
        </w:r>
        <w:r w:rsidRPr="00DB74AF">
          <w:rPr>
            <w:rFonts w:ascii="Arial" w:hAnsi="Arial" w:cs="Arial"/>
            <w:sz w:val="18"/>
            <w:szCs w:val="18"/>
          </w:rPr>
          <w:fldChar w:fldCharType="separate"/>
        </w:r>
        <w:r w:rsidR="001422DA" w:rsidRPr="00DB74AF">
          <w:rPr>
            <w:rFonts w:ascii="Arial" w:hAnsi="Arial" w:cs="Arial"/>
            <w:noProof/>
            <w:sz w:val="18"/>
            <w:szCs w:val="18"/>
          </w:rPr>
          <w:t>1</w:t>
        </w:r>
        <w:r w:rsidRPr="00DB74AF">
          <w:rPr>
            <w:rFonts w:ascii="Arial" w:hAnsi="Arial" w:cs="Arial"/>
            <w:noProof/>
            <w:sz w:val="18"/>
            <w:szCs w:val="18"/>
          </w:rPr>
          <w:fldChar w:fldCharType="end"/>
        </w:r>
        <w:r w:rsidRPr="00DB74AF">
          <w:rPr>
            <w:rFonts w:ascii="Arial" w:hAnsi="Arial" w:cs="Arial"/>
            <w:sz w:val="18"/>
            <w:szCs w:val="18"/>
          </w:rPr>
          <w:t xml:space="preserve"> | </w:t>
        </w:r>
        <w:r w:rsidRPr="00DB74AF">
          <w:rPr>
            <w:rFonts w:ascii="Arial" w:hAnsi="Arial" w:cs="Arial"/>
            <w:color w:val="7F7F7F" w:themeColor="background1" w:themeShade="7F"/>
            <w:spacing w:val="60"/>
            <w:sz w:val="18"/>
            <w:szCs w:val="18"/>
          </w:rPr>
          <w:t>Page</w:t>
        </w:r>
      </w:p>
    </w:sdtContent>
  </w:sdt>
  <w:p w14:paraId="74180889" w14:textId="77777777" w:rsidR="00D52E5C" w:rsidRDefault="00D5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B5D8" w14:textId="77777777" w:rsidR="00D52E5C" w:rsidRDefault="00D52E5C" w:rsidP="00892888">
      <w:pPr>
        <w:spacing w:after="0" w:line="240" w:lineRule="auto"/>
      </w:pPr>
      <w:r>
        <w:separator/>
      </w:r>
    </w:p>
  </w:footnote>
  <w:footnote w:type="continuationSeparator" w:id="0">
    <w:p w14:paraId="1DCA8208" w14:textId="77777777" w:rsidR="00D52E5C" w:rsidRDefault="00D52E5C" w:rsidP="0089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4F90"/>
    <w:multiLevelType w:val="hybridMultilevel"/>
    <w:tmpl w:val="1B166A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3E704A"/>
    <w:multiLevelType w:val="hybridMultilevel"/>
    <w:tmpl w:val="46F20EA0"/>
    <w:lvl w:ilvl="0" w:tplc="6ADCF5F6">
      <w:start w:val="1"/>
      <w:numFmt w:val="lowerLetter"/>
      <w:lvlText w:val="(%1)"/>
      <w:lvlJc w:val="left"/>
      <w:pPr>
        <w:ind w:left="1386" w:hanging="360"/>
      </w:pPr>
      <w:rPr>
        <w:rFonts w:hint="default"/>
        <w:b w:val="0"/>
      </w:rPr>
    </w:lvl>
    <w:lvl w:ilvl="1" w:tplc="04090019">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15:restartNumberingAfterBreak="0">
    <w:nsid w:val="514A465B"/>
    <w:multiLevelType w:val="hybridMultilevel"/>
    <w:tmpl w:val="3B6035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2288A"/>
    <w:multiLevelType w:val="hybridMultilevel"/>
    <w:tmpl w:val="5BE6FE56"/>
    <w:lvl w:ilvl="0" w:tplc="57363B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356BA"/>
    <w:multiLevelType w:val="hybridMultilevel"/>
    <w:tmpl w:val="EDE2A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8F4"/>
    <w:multiLevelType w:val="hybridMultilevel"/>
    <w:tmpl w:val="FFF0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70EB4"/>
    <w:multiLevelType w:val="hybridMultilevel"/>
    <w:tmpl w:val="94C4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4478B1"/>
    <w:multiLevelType w:val="hybridMultilevel"/>
    <w:tmpl w:val="DC6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7B"/>
    <w:rsid w:val="00015979"/>
    <w:rsid w:val="00033FCC"/>
    <w:rsid w:val="00042EE7"/>
    <w:rsid w:val="000C5220"/>
    <w:rsid w:val="000C5638"/>
    <w:rsid w:val="000D5A3D"/>
    <w:rsid w:val="000F4010"/>
    <w:rsid w:val="001121A0"/>
    <w:rsid w:val="001422DA"/>
    <w:rsid w:val="00185860"/>
    <w:rsid w:val="001A7783"/>
    <w:rsid w:val="001B4E8A"/>
    <w:rsid w:val="001B67A8"/>
    <w:rsid w:val="001C0E44"/>
    <w:rsid w:val="002461D9"/>
    <w:rsid w:val="00271533"/>
    <w:rsid w:val="0027599B"/>
    <w:rsid w:val="002A146D"/>
    <w:rsid w:val="002D4466"/>
    <w:rsid w:val="002D7A38"/>
    <w:rsid w:val="00321DC2"/>
    <w:rsid w:val="00335D6D"/>
    <w:rsid w:val="00370BF8"/>
    <w:rsid w:val="003C7271"/>
    <w:rsid w:val="00425974"/>
    <w:rsid w:val="00475439"/>
    <w:rsid w:val="004B3E84"/>
    <w:rsid w:val="004B7ECF"/>
    <w:rsid w:val="00502E0A"/>
    <w:rsid w:val="00503491"/>
    <w:rsid w:val="00533800"/>
    <w:rsid w:val="00534661"/>
    <w:rsid w:val="005435F3"/>
    <w:rsid w:val="00565E43"/>
    <w:rsid w:val="005A7713"/>
    <w:rsid w:val="005D2C34"/>
    <w:rsid w:val="005D7B97"/>
    <w:rsid w:val="006028E0"/>
    <w:rsid w:val="00654462"/>
    <w:rsid w:val="00697D5C"/>
    <w:rsid w:val="006A0EF6"/>
    <w:rsid w:val="006B3897"/>
    <w:rsid w:val="006B3CFD"/>
    <w:rsid w:val="007328BA"/>
    <w:rsid w:val="00766EB8"/>
    <w:rsid w:val="00773852"/>
    <w:rsid w:val="00777404"/>
    <w:rsid w:val="00790BB7"/>
    <w:rsid w:val="007B40A5"/>
    <w:rsid w:val="007B4D6A"/>
    <w:rsid w:val="007E3EEC"/>
    <w:rsid w:val="00806C47"/>
    <w:rsid w:val="00810362"/>
    <w:rsid w:val="00817F20"/>
    <w:rsid w:val="00854E3D"/>
    <w:rsid w:val="00886296"/>
    <w:rsid w:val="00892888"/>
    <w:rsid w:val="009658E2"/>
    <w:rsid w:val="00967F73"/>
    <w:rsid w:val="0099783D"/>
    <w:rsid w:val="009B218C"/>
    <w:rsid w:val="009B3A55"/>
    <w:rsid w:val="009C7D62"/>
    <w:rsid w:val="009D0969"/>
    <w:rsid w:val="00A00989"/>
    <w:rsid w:val="00A4562F"/>
    <w:rsid w:val="00A45B8D"/>
    <w:rsid w:val="00A82701"/>
    <w:rsid w:val="00AA6B18"/>
    <w:rsid w:val="00AC76BC"/>
    <w:rsid w:val="00B075CE"/>
    <w:rsid w:val="00B14330"/>
    <w:rsid w:val="00B37E94"/>
    <w:rsid w:val="00BA027B"/>
    <w:rsid w:val="00BC2B9B"/>
    <w:rsid w:val="00BC6CAD"/>
    <w:rsid w:val="00BD536E"/>
    <w:rsid w:val="00BF2ADD"/>
    <w:rsid w:val="00BF4FAD"/>
    <w:rsid w:val="00C02539"/>
    <w:rsid w:val="00C27F8A"/>
    <w:rsid w:val="00C31B8A"/>
    <w:rsid w:val="00C519D9"/>
    <w:rsid w:val="00C715FA"/>
    <w:rsid w:val="00C7279F"/>
    <w:rsid w:val="00C837F6"/>
    <w:rsid w:val="00CB1E6C"/>
    <w:rsid w:val="00D40268"/>
    <w:rsid w:val="00D52E5C"/>
    <w:rsid w:val="00D762DE"/>
    <w:rsid w:val="00DB515D"/>
    <w:rsid w:val="00DB64C3"/>
    <w:rsid w:val="00DB74AF"/>
    <w:rsid w:val="00DF4C7C"/>
    <w:rsid w:val="00E27354"/>
    <w:rsid w:val="00E44C05"/>
    <w:rsid w:val="00E614DB"/>
    <w:rsid w:val="00E93655"/>
    <w:rsid w:val="00F50611"/>
    <w:rsid w:val="00FB58A9"/>
    <w:rsid w:val="00FE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CD2C"/>
  <w15:chartTrackingRefBased/>
  <w15:docId w15:val="{FF3206C8-4B4C-454B-9725-7C500E28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27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A027B"/>
    <w:pPr>
      <w:spacing w:after="200" w:line="276" w:lineRule="auto"/>
      <w:ind w:left="720"/>
    </w:pPr>
    <w:rPr>
      <w:rFonts w:ascii="Calibri" w:eastAsia="Calibri" w:hAnsi="Calibri" w:cs="Times New Roman"/>
      <w:lang w:val="en-US"/>
    </w:rPr>
  </w:style>
  <w:style w:type="character" w:styleId="Hyperlink">
    <w:name w:val="Hyperlink"/>
    <w:uiPriority w:val="99"/>
    <w:unhideWhenUsed/>
    <w:rsid w:val="000C5220"/>
    <w:rPr>
      <w:color w:val="0563C1"/>
      <w:u w:val="single"/>
    </w:rPr>
  </w:style>
  <w:style w:type="paragraph" w:styleId="Header">
    <w:name w:val="header"/>
    <w:basedOn w:val="Normal"/>
    <w:link w:val="HeaderChar"/>
    <w:uiPriority w:val="99"/>
    <w:unhideWhenUsed/>
    <w:rsid w:val="0089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88"/>
  </w:style>
  <w:style w:type="paragraph" w:styleId="Footer">
    <w:name w:val="footer"/>
    <w:basedOn w:val="Normal"/>
    <w:link w:val="FooterChar"/>
    <w:uiPriority w:val="99"/>
    <w:unhideWhenUsed/>
    <w:rsid w:val="0089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88"/>
  </w:style>
  <w:style w:type="character" w:styleId="UnresolvedMention">
    <w:name w:val="Unresolved Mention"/>
    <w:basedOn w:val="DefaultParagraphFont"/>
    <w:uiPriority w:val="99"/>
    <w:semiHidden/>
    <w:unhideWhenUsed/>
    <w:rsid w:val="00475439"/>
    <w:rPr>
      <w:color w:val="605E5C"/>
      <w:shd w:val="clear" w:color="auto" w:fill="E1DFDD"/>
    </w:rPr>
  </w:style>
  <w:style w:type="character" w:customStyle="1" w:styleId="m-442156580255480291m8154164973851632295msohyperlink">
    <w:name w:val="m_-442156580255480291m_8154164973851632295msohyperlink"/>
    <w:rsid w:val="00773852"/>
  </w:style>
  <w:style w:type="paragraph" w:styleId="NormalWeb">
    <w:name w:val="Normal (Web)"/>
    <w:basedOn w:val="Normal"/>
    <w:uiPriority w:val="99"/>
    <w:semiHidden/>
    <w:unhideWhenUsed/>
    <w:rsid w:val="005435F3"/>
    <w:pPr>
      <w:spacing w:before="100" w:beforeAutospacing="1" w:after="100" w:afterAutospacing="1" w:line="240" w:lineRule="auto"/>
    </w:pPr>
    <w:rPr>
      <w:rFonts w:ascii="Calibri" w:eastAsia="Calibri" w:hAnsi="Calibri" w:cs="Calibri"/>
      <w:lang w:val="en-US"/>
    </w:rPr>
  </w:style>
  <w:style w:type="character" w:styleId="Strong">
    <w:name w:val="Strong"/>
    <w:basedOn w:val="DefaultParagraphFont"/>
    <w:uiPriority w:val="22"/>
    <w:qFormat/>
    <w:rsid w:val="0056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009">
      <w:bodyDiv w:val="1"/>
      <w:marLeft w:val="0"/>
      <w:marRight w:val="0"/>
      <w:marTop w:val="0"/>
      <w:marBottom w:val="0"/>
      <w:divBdr>
        <w:top w:val="none" w:sz="0" w:space="0" w:color="auto"/>
        <w:left w:val="none" w:sz="0" w:space="0" w:color="auto"/>
        <w:bottom w:val="none" w:sz="0" w:space="0" w:color="auto"/>
        <w:right w:val="none" w:sz="0" w:space="0" w:color="auto"/>
      </w:divBdr>
    </w:div>
    <w:div w:id="61493017">
      <w:bodyDiv w:val="1"/>
      <w:marLeft w:val="0"/>
      <w:marRight w:val="0"/>
      <w:marTop w:val="0"/>
      <w:marBottom w:val="0"/>
      <w:divBdr>
        <w:top w:val="none" w:sz="0" w:space="0" w:color="auto"/>
        <w:left w:val="none" w:sz="0" w:space="0" w:color="auto"/>
        <w:bottom w:val="none" w:sz="0" w:space="0" w:color="auto"/>
        <w:right w:val="none" w:sz="0" w:space="0" w:color="auto"/>
      </w:divBdr>
    </w:div>
    <w:div w:id="258832362">
      <w:bodyDiv w:val="1"/>
      <w:marLeft w:val="0"/>
      <w:marRight w:val="0"/>
      <w:marTop w:val="0"/>
      <w:marBottom w:val="0"/>
      <w:divBdr>
        <w:top w:val="none" w:sz="0" w:space="0" w:color="auto"/>
        <w:left w:val="none" w:sz="0" w:space="0" w:color="auto"/>
        <w:bottom w:val="none" w:sz="0" w:space="0" w:color="auto"/>
        <w:right w:val="none" w:sz="0" w:space="0" w:color="auto"/>
      </w:divBdr>
    </w:div>
    <w:div w:id="464853168">
      <w:bodyDiv w:val="1"/>
      <w:marLeft w:val="0"/>
      <w:marRight w:val="0"/>
      <w:marTop w:val="0"/>
      <w:marBottom w:val="0"/>
      <w:divBdr>
        <w:top w:val="none" w:sz="0" w:space="0" w:color="auto"/>
        <w:left w:val="none" w:sz="0" w:space="0" w:color="auto"/>
        <w:bottom w:val="none" w:sz="0" w:space="0" w:color="auto"/>
        <w:right w:val="none" w:sz="0" w:space="0" w:color="auto"/>
      </w:divBdr>
    </w:div>
    <w:div w:id="694355761">
      <w:bodyDiv w:val="1"/>
      <w:marLeft w:val="0"/>
      <w:marRight w:val="0"/>
      <w:marTop w:val="0"/>
      <w:marBottom w:val="0"/>
      <w:divBdr>
        <w:top w:val="none" w:sz="0" w:space="0" w:color="auto"/>
        <w:left w:val="none" w:sz="0" w:space="0" w:color="auto"/>
        <w:bottom w:val="none" w:sz="0" w:space="0" w:color="auto"/>
        <w:right w:val="none" w:sz="0" w:space="0" w:color="auto"/>
      </w:divBdr>
    </w:div>
    <w:div w:id="823854694">
      <w:bodyDiv w:val="1"/>
      <w:marLeft w:val="0"/>
      <w:marRight w:val="0"/>
      <w:marTop w:val="0"/>
      <w:marBottom w:val="0"/>
      <w:divBdr>
        <w:top w:val="none" w:sz="0" w:space="0" w:color="auto"/>
        <w:left w:val="none" w:sz="0" w:space="0" w:color="auto"/>
        <w:bottom w:val="none" w:sz="0" w:space="0" w:color="auto"/>
        <w:right w:val="none" w:sz="0" w:space="0" w:color="auto"/>
      </w:divBdr>
    </w:div>
    <w:div w:id="828059155">
      <w:bodyDiv w:val="1"/>
      <w:marLeft w:val="0"/>
      <w:marRight w:val="0"/>
      <w:marTop w:val="0"/>
      <w:marBottom w:val="0"/>
      <w:divBdr>
        <w:top w:val="none" w:sz="0" w:space="0" w:color="auto"/>
        <w:left w:val="none" w:sz="0" w:space="0" w:color="auto"/>
        <w:bottom w:val="none" w:sz="0" w:space="0" w:color="auto"/>
        <w:right w:val="none" w:sz="0" w:space="0" w:color="auto"/>
      </w:divBdr>
    </w:div>
    <w:div w:id="847989078">
      <w:bodyDiv w:val="1"/>
      <w:marLeft w:val="0"/>
      <w:marRight w:val="0"/>
      <w:marTop w:val="0"/>
      <w:marBottom w:val="0"/>
      <w:divBdr>
        <w:top w:val="none" w:sz="0" w:space="0" w:color="auto"/>
        <w:left w:val="none" w:sz="0" w:space="0" w:color="auto"/>
        <w:bottom w:val="none" w:sz="0" w:space="0" w:color="auto"/>
        <w:right w:val="none" w:sz="0" w:space="0" w:color="auto"/>
      </w:divBdr>
    </w:div>
    <w:div w:id="888565972">
      <w:bodyDiv w:val="1"/>
      <w:marLeft w:val="0"/>
      <w:marRight w:val="0"/>
      <w:marTop w:val="0"/>
      <w:marBottom w:val="0"/>
      <w:divBdr>
        <w:top w:val="none" w:sz="0" w:space="0" w:color="auto"/>
        <w:left w:val="none" w:sz="0" w:space="0" w:color="auto"/>
        <w:bottom w:val="none" w:sz="0" w:space="0" w:color="auto"/>
        <w:right w:val="none" w:sz="0" w:space="0" w:color="auto"/>
      </w:divBdr>
    </w:div>
    <w:div w:id="1046414387">
      <w:bodyDiv w:val="1"/>
      <w:marLeft w:val="0"/>
      <w:marRight w:val="0"/>
      <w:marTop w:val="0"/>
      <w:marBottom w:val="0"/>
      <w:divBdr>
        <w:top w:val="none" w:sz="0" w:space="0" w:color="auto"/>
        <w:left w:val="none" w:sz="0" w:space="0" w:color="auto"/>
        <w:bottom w:val="none" w:sz="0" w:space="0" w:color="auto"/>
        <w:right w:val="none" w:sz="0" w:space="0" w:color="auto"/>
      </w:divBdr>
    </w:div>
    <w:div w:id="1126893765">
      <w:bodyDiv w:val="1"/>
      <w:marLeft w:val="0"/>
      <w:marRight w:val="0"/>
      <w:marTop w:val="0"/>
      <w:marBottom w:val="0"/>
      <w:divBdr>
        <w:top w:val="none" w:sz="0" w:space="0" w:color="auto"/>
        <w:left w:val="none" w:sz="0" w:space="0" w:color="auto"/>
        <w:bottom w:val="none" w:sz="0" w:space="0" w:color="auto"/>
        <w:right w:val="none" w:sz="0" w:space="0" w:color="auto"/>
      </w:divBdr>
    </w:div>
    <w:div w:id="1149639693">
      <w:bodyDiv w:val="1"/>
      <w:marLeft w:val="0"/>
      <w:marRight w:val="0"/>
      <w:marTop w:val="0"/>
      <w:marBottom w:val="0"/>
      <w:divBdr>
        <w:top w:val="none" w:sz="0" w:space="0" w:color="auto"/>
        <w:left w:val="none" w:sz="0" w:space="0" w:color="auto"/>
        <w:bottom w:val="none" w:sz="0" w:space="0" w:color="auto"/>
        <w:right w:val="none" w:sz="0" w:space="0" w:color="auto"/>
      </w:divBdr>
    </w:div>
    <w:div w:id="1212887457">
      <w:bodyDiv w:val="1"/>
      <w:marLeft w:val="0"/>
      <w:marRight w:val="0"/>
      <w:marTop w:val="0"/>
      <w:marBottom w:val="0"/>
      <w:divBdr>
        <w:top w:val="none" w:sz="0" w:space="0" w:color="auto"/>
        <w:left w:val="none" w:sz="0" w:space="0" w:color="auto"/>
        <w:bottom w:val="none" w:sz="0" w:space="0" w:color="auto"/>
        <w:right w:val="none" w:sz="0" w:space="0" w:color="auto"/>
      </w:divBdr>
    </w:div>
    <w:div w:id="1423330436">
      <w:bodyDiv w:val="1"/>
      <w:marLeft w:val="0"/>
      <w:marRight w:val="0"/>
      <w:marTop w:val="0"/>
      <w:marBottom w:val="0"/>
      <w:divBdr>
        <w:top w:val="none" w:sz="0" w:space="0" w:color="auto"/>
        <w:left w:val="none" w:sz="0" w:space="0" w:color="auto"/>
        <w:bottom w:val="none" w:sz="0" w:space="0" w:color="auto"/>
        <w:right w:val="none" w:sz="0" w:space="0" w:color="auto"/>
      </w:divBdr>
    </w:div>
    <w:div w:id="1560553482">
      <w:bodyDiv w:val="1"/>
      <w:marLeft w:val="0"/>
      <w:marRight w:val="0"/>
      <w:marTop w:val="0"/>
      <w:marBottom w:val="0"/>
      <w:divBdr>
        <w:top w:val="none" w:sz="0" w:space="0" w:color="auto"/>
        <w:left w:val="none" w:sz="0" w:space="0" w:color="auto"/>
        <w:bottom w:val="none" w:sz="0" w:space="0" w:color="auto"/>
        <w:right w:val="none" w:sz="0" w:space="0" w:color="auto"/>
      </w:divBdr>
    </w:div>
    <w:div w:id="1657757702">
      <w:bodyDiv w:val="1"/>
      <w:marLeft w:val="0"/>
      <w:marRight w:val="0"/>
      <w:marTop w:val="0"/>
      <w:marBottom w:val="0"/>
      <w:divBdr>
        <w:top w:val="none" w:sz="0" w:space="0" w:color="auto"/>
        <w:left w:val="none" w:sz="0" w:space="0" w:color="auto"/>
        <w:bottom w:val="none" w:sz="0" w:space="0" w:color="auto"/>
        <w:right w:val="none" w:sz="0" w:space="0" w:color="auto"/>
      </w:divBdr>
    </w:div>
    <w:div w:id="1764839357">
      <w:bodyDiv w:val="1"/>
      <w:marLeft w:val="0"/>
      <w:marRight w:val="0"/>
      <w:marTop w:val="0"/>
      <w:marBottom w:val="0"/>
      <w:divBdr>
        <w:top w:val="none" w:sz="0" w:space="0" w:color="auto"/>
        <w:left w:val="none" w:sz="0" w:space="0" w:color="auto"/>
        <w:bottom w:val="none" w:sz="0" w:space="0" w:color="auto"/>
        <w:right w:val="none" w:sz="0" w:space="0" w:color="auto"/>
      </w:divBdr>
    </w:div>
    <w:div w:id="1824933880">
      <w:bodyDiv w:val="1"/>
      <w:marLeft w:val="0"/>
      <w:marRight w:val="0"/>
      <w:marTop w:val="0"/>
      <w:marBottom w:val="0"/>
      <w:divBdr>
        <w:top w:val="none" w:sz="0" w:space="0" w:color="auto"/>
        <w:left w:val="none" w:sz="0" w:space="0" w:color="auto"/>
        <w:bottom w:val="none" w:sz="0" w:space="0" w:color="auto"/>
        <w:right w:val="none" w:sz="0" w:space="0" w:color="auto"/>
      </w:divBdr>
    </w:div>
    <w:div w:id="1857504001">
      <w:bodyDiv w:val="1"/>
      <w:marLeft w:val="0"/>
      <w:marRight w:val="0"/>
      <w:marTop w:val="0"/>
      <w:marBottom w:val="0"/>
      <w:divBdr>
        <w:top w:val="none" w:sz="0" w:space="0" w:color="auto"/>
        <w:left w:val="none" w:sz="0" w:space="0" w:color="auto"/>
        <w:bottom w:val="none" w:sz="0" w:space="0" w:color="auto"/>
        <w:right w:val="none" w:sz="0" w:space="0" w:color="auto"/>
      </w:divBdr>
    </w:div>
    <w:div w:id="1916167368">
      <w:bodyDiv w:val="1"/>
      <w:marLeft w:val="0"/>
      <w:marRight w:val="0"/>
      <w:marTop w:val="0"/>
      <w:marBottom w:val="0"/>
      <w:divBdr>
        <w:top w:val="none" w:sz="0" w:space="0" w:color="auto"/>
        <w:left w:val="none" w:sz="0" w:space="0" w:color="auto"/>
        <w:bottom w:val="none" w:sz="0" w:space="0" w:color="auto"/>
        <w:right w:val="none" w:sz="0" w:space="0" w:color="auto"/>
      </w:divBdr>
    </w:div>
    <w:div w:id="1955359210">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126578242">
      <w:bodyDiv w:val="1"/>
      <w:marLeft w:val="0"/>
      <w:marRight w:val="0"/>
      <w:marTop w:val="0"/>
      <w:marBottom w:val="0"/>
      <w:divBdr>
        <w:top w:val="none" w:sz="0" w:space="0" w:color="auto"/>
        <w:left w:val="none" w:sz="0" w:space="0" w:color="auto"/>
        <w:bottom w:val="none" w:sz="0" w:space="0" w:color="auto"/>
        <w:right w:val="none" w:sz="0" w:space="0" w:color="auto"/>
      </w:divBdr>
    </w:div>
    <w:div w:id="21300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taflmcltd@brotaflmcltd.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otaf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ricci</dc:creator>
  <cp:keywords/>
  <dc:description/>
  <cp:lastModifiedBy>brotaf lmc</cp:lastModifiedBy>
  <cp:revision>7</cp:revision>
  <dcterms:created xsi:type="dcterms:W3CDTF">2020-02-03T11:56:00Z</dcterms:created>
  <dcterms:modified xsi:type="dcterms:W3CDTF">2020-02-05T07:51:00Z</dcterms:modified>
</cp:coreProperties>
</file>