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4C36" w14:textId="7A5B4F30" w:rsidR="00A96507" w:rsidRPr="00374222" w:rsidRDefault="00A96507" w:rsidP="00A2040D">
      <w:pPr>
        <w:spacing w:after="0" w:line="240" w:lineRule="auto"/>
        <w:jc w:val="right"/>
        <w:rPr>
          <w:rFonts w:ascii="Arial" w:hAnsi="Arial" w:cs="Arial"/>
          <w:sz w:val="24"/>
          <w:szCs w:val="24"/>
        </w:rPr>
      </w:pPr>
      <w:r w:rsidRPr="00374222">
        <w:rPr>
          <w:rFonts w:ascii="Arial" w:hAnsi="Arial" w:cs="Arial"/>
          <w:sz w:val="24"/>
          <w:szCs w:val="24"/>
        </w:rPr>
        <w:t xml:space="preserve">Date: </w:t>
      </w:r>
    </w:p>
    <w:p w14:paraId="1EAC9AB9" w14:textId="77777777" w:rsidR="00A96507" w:rsidRPr="00374222" w:rsidRDefault="00A96507" w:rsidP="00A2040D">
      <w:pPr>
        <w:spacing w:after="0" w:line="240" w:lineRule="auto"/>
        <w:jc w:val="right"/>
        <w:rPr>
          <w:rFonts w:ascii="Arial" w:hAnsi="Arial" w:cs="Arial"/>
          <w:sz w:val="24"/>
          <w:szCs w:val="24"/>
        </w:rPr>
      </w:pPr>
      <w:r w:rsidRPr="00374222">
        <w:rPr>
          <w:rFonts w:ascii="Arial" w:hAnsi="Arial" w:cs="Arial"/>
          <w:sz w:val="24"/>
          <w:szCs w:val="24"/>
        </w:rPr>
        <w:t>Practice Address</w:t>
      </w:r>
    </w:p>
    <w:p w14:paraId="5EB85C49" w14:textId="77777777" w:rsidR="00A96507" w:rsidRPr="00374222" w:rsidRDefault="003A5C99" w:rsidP="00A2040D">
      <w:pPr>
        <w:spacing w:after="0" w:line="240" w:lineRule="auto"/>
        <w:rPr>
          <w:rFonts w:ascii="Arial" w:hAnsi="Arial" w:cs="Arial"/>
          <w:sz w:val="24"/>
          <w:szCs w:val="24"/>
        </w:rPr>
      </w:pPr>
      <w:r w:rsidRPr="00374222">
        <w:rPr>
          <w:rFonts w:ascii="Arial" w:hAnsi="Arial" w:cs="Arial"/>
          <w:sz w:val="24"/>
          <w:szCs w:val="24"/>
        </w:rPr>
        <w:t>Responsible</w:t>
      </w:r>
      <w:r w:rsidR="00A96507" w:rsidRPr="00374222">
        <w:rPr>
          <w:rFonts w:ascii="Arial" w:hAnsi="Arial" w:cs="Arial"/>
          <w:sz w:val="24"/>
          <w:szCs w:val="24"/>
        </w:rPr>
        <w:t xml:space="preserve"> Consultant</w:t>
      </w:r>
    </w:p>
    <w:p w14:paraId="61B93562" w14:textId="77777777" w:rsidR="00A96507" w:rsidRPr="00374222" w:rsidRDefault="00A96507" w:rsidP="00A2040D">
      <w:pPr>
        <w:spacing w:after="0" w:line="240" w:lineRule="auto"/>
        <w:rPr>
          <w:rFonts w:ascii="Arial" w:hAnsi="Arial" w:cs="Arial"/>
          <w:sz w:val="24"/>
          <w:szCs w:val="24"/>
        </w:rPr>
      </w:pPr>
      <w:r w:rsidRPr="00374222">
        <w:rPr>
          <w:rFonts w:ascii="Arial" w:hAnsi="Arial" w:cs="Arial"/>
          <w:sz w:val="24"/>
          <w:szCs w:val="24"/>
        </w:rPr>
        <w:t>Hospital Dept</w:t>
      </w:r>
    </w:p>
    <w:p w14:paraId="1941DAC7" w14:textId="235F8486" w:rsidR="00A96507" w:rsidRPr="00374222" w:rsidRDefault="00A96507" w:rsidP="00A2040D">
      <w:pPr>
        <w:spacing w:after="0" w:line="240" w:lineRule="auto"/>
        <w:rPr>
          <w:rFonts w:ascii="Arial" w:hAnsi="Arial" w:cs="Arial"/>
          <w:sz w:val="24"/>
          <w:szCs w:val="24"/>
        </w:rPr>
      </w:pPr>
      <w:r w:rsidRPr="00374222">
        <w:rPr>
          <w:rFonts w:ascii="Arial" w:hAnsi="Arial" w:cs="Arial"/>
          <w:sz w:val="24"/>
          <w:szCs w:val="24"/>
        </w:rPr>
        <w:t>Hospital</w:t>
      </w:r>
    </w:p>
    <w:p w14:paraId="0E72C688" w14:textId="7B40740D" w:rsidR="00A96507" w:rsidRDefault="00A96507" w:rsidP="00A2040D">
      <w:pPr>
        <w:spacing w:after="0" w:line="240" w:lineRule="auto"/>
        <w:rPr>
          <w:rFonts w:ascii="Arial" w:hAnsi="Arial" w:cs="Arial"/>
          <w:sz w:val="24"/>
          <w:szCs w:val="24"/>
        </w:rPr>
      </w:pPr>
    </w:p>
    <w:p w14:paraId="72B10C35" w14:textId="0D2E4644" w:rsidR="00A2040D" w:rsidRDefault="00A2040D" w:rsidP="00A2040D">
      <w:pPr>
        <w:spacing w:after="0" w:line="240" w:lineRule="auto"/>
        <w:rPr>
          <w:rFonts w:ascii="Arial" w:hAnsi="Arial" w:cs="Arial"/>
          <w:sz w:val="24"/>
          <w:szCs w:val="24"/>
        </w:rPr>
      </w:pPr>
    </w:p>
    <w:p w14:paraId="434A5FAB" w14:textId="622CB538" w:rsidR="00A2040D" w:rsidRPr="00A2040D" w:rsidRDefault="00A2040D" w:rsidP="00A2040D">
      <w:pPr>
        <w:spacing w:after="0" w:line="240" w:lineRule="auto"/>
        <w:rPr>
          <w:rFonts w:ascii="Arial" w:hAnsi="Arial" w:cs="Arial"/>
          <w:b/>
          <w:bCs/>
          <w:sz w:val="24"/>
          <w:szCs w:val="24"/>
        </w:rPr>
      </w:pPr>
      <w:r w:rsidRPr="00A2040D">
        <w:rPr>
          <w:rFonts w:ascii="Arial" w:hAnsi="Arial" w:cs="Arial"/>
          <w:b/>
          <w:bCs/>
          <w:sz w:val="24"/>
          <w:szCs w:val="24"/>
        </w:rPr>
        <w:t>BREACH OF COMMUNICATIONS STANDARDS</w:t>
      </w:r>
    </w:p>
    <w:p w14:paraId="49AF7D4F" w14:textId="77777777" w:rsidR="00A2040D" w:rsidRPr="00374222" w:rsidRDefault="00A2040D" w:rsidP="00A2040D">
      <w:pPr>
        <w:spacing w:after="0" w:line="240" w:lineRule="auto"/>
        <w:rPr>
          <w:rFonts w:ascii="Arial" w:hAnsi="Arial" w:cs="Arial"/>
          <w:sz w:val="24"/>
          <w:szCs w:val="24"/>
        </w:rPr>
      </w:pPr>
    </w:p>
    <w:p w14:paraId="643718C2" w14:textId="0EB53682" w:rsidR="00A96507" w:rsidRDefault="00A96507" w:rsidP="00A2040D">
      <w:pPr>
        <w:spacing w:after="0" w:line="240" w:lineRule="auto"/>
        <w:rPr>
          <w:rFonts w:ascii="Arial" w:hAnsi="Arial" w:cs="Arial"/>
          <w:sz w:val="24"/>
          <w:szCs w:val="24"/>
        </w:rPr>
      </w:pPr>
      <w:r w:rsidRPr="00374222">
        <w:rPr>
          <w:rFonts w:ascii="Arial" w:hAnsi="Arial" w:cs="Arial"/>
          <w:sz w:val="24"/>
          <w:szCs w:val="24"/>
        </w:rPr>
        <w:t xml:space="preserve">I have received the attached communication.  I wish to highlight what I believe to be a </w:t>
      </w:r>
      <w:r w:rsidR="003A5C99" w:rsidRPr="00374222">
        <w:rPr>
          <w:rFonts w:ascii="Arial" w:hAnsi="Arial" w:cs="Arial"/>
          <w:sz w:val="24"/>
          <w:szCs w:val="24"/>
        </w:rPr>
        <w:t>breach</w:t>
      </w:r>
      <w:r w:rsidRPr="00374222">
        <w:rPr>
          <w:rFonts w:ascii="Arial" w:hAnsi="Arial" w:cs="Arial"/>
          <w:sz w:val="24"/>
          <w:szCs w:val="24"/>
        </w:rPr>
        <w:t xml:space="preserve"> of access standard(s) ……………………. (overleaf).</w:t>
      </w:r>
    </w:p>
    <w:p w14:paraId="58F8CE0D" w14:textId="5C05A4BC" w:rsidR="00300957" w:rsidRDefault="00300957" w:rsidP="00A2040D">
      <w:pPr>
        <w:spacing w:after="0" w:line="240" w:lineRule="auto"/>
        <w:rPr>
          <w:rFonts w:ascii="Arial" w:hAnsi="Arial" w:cs="Arial"/>
          <w:sz w:val="24"/>
          <w:szCs w:val="24"/>
        </w:rPr>
      </w:pPr>
    </w:p>
    <w:p w14:paraId="201C3EF4" w14:textId="5317CC0E" w:rsidR="00A96507" w:rsidRPr="00374222" w:rsidRDefault="00300957" w:rsidP="00A2040D">
      <w:pPr>
        <w:spacing w:after="0" w:line="240" w:lineRule="auto"/>
        <w:rPr>
          <w:rFonts w:ascii="Arial" w:hAnsi="Arial" w:cs="Arial"/>
          <w:sz w:val="24"/>
          <w:szCs w:val="24"/>
        </w:rPr>
      </w:pPr>
      <w:r>
        <w:rPr>
          <w:rFonts w:ascii="Arial" w:hAnsi="Arial" w:cs="Arial"/>
          <w:sz w:val="24"/>
          <w:szCs w:val="24"/>
        </w:rPr>
        <w:t xml:space="preserve">These standards were set by the Chief Medical Officer of the Welsh Government under Welsh Health Circular. </w:t>
      </w:r>
      <w:r w:rsidR="00A96507" w:rsidRPr="00374222">
        <w:rPr>
          <w:rFonts w:ascii="Arial" w:hAnsi="Arial" w:cs="Arial"/>
          <w:sz w:val="24"/>
          <w:szCs w:val="24"/>
        </w:rPr>
        <w:t xml:space="preserve">If you wish to review the </w:t>
      </w:r>
      <w:r w:rsidR="003A5C99" w:rsidRPr="00374222">
        <w:rPr>
          <w:rFonts w:ascii="Arial" w:hAnsi="Arial" w:cs="Arial"/>
          <w:sz w:val="24"/>
          <w:szCs w:val="24"/>
        </w:rPr>
        <w:t>standards</w:t>
      </w:r>
      <w:r>
        <w:rPr>
          <w:rFonts w:ascii="Arial" w:hAnsi="Arial" w:cs="Arial"/>
          <w:sz w:val="24"/>
          <w:szCs w:val="24"/>
        </w:rPr>
        <w:t>,</w:t>
      </w:r>
      <w:r w:rsidR="003A5C99" w:rsidRPr="00374222">
        <w:rPr>
          <w:rFonts w:ascii="Arial" w:hAnsi="Arial" w:cs="Arial"/>
          <w:sz w:val="24"/>
          <w:szCs w:val="24"/>
        </w:rPr>
        <w:t xml:space="preserve"> they can be found here: </w:t>
      </w:r>
    </w:p>
    <w:p w14:paraId="76A7E8E9" w14:textId="5284FE2C" w:rsidR="00A96507" w:rsidRDefault="00300957" w:rsidP="00A2040D">
      <w:pPr>
        <w:spacing w:after="0" w:line="240" w:lineRule="auto"/>
      </w:pPr>
      <w:r w:rsidRPr="00374222">
        <w:rPr>
          <w:rFonts w:ascii="Arial" w:hAnsi="Arial" w:cs="Arial"/>
          <w:noProof/>
          <w:sz w:val="24"/>
          <w:szCs w:val="24"/>
          <w:lang w:eastAsia="en-GB"/>
        </w:rPr>
        <w:drawing>
          <wp:anchor distT="0" distB="0" distL="114300" distR="114300" simplePos="0" relativeHeight="251658240" behindDoc="1" locked="0" layoutInCell="1" allowOverlap="1" wp14:anchorId="1913EF6A" wp14:editId="72B214EA">
            <wp:simplePos x="0" y="0"/>
            <wp:positionH relativeFrom="column">
              <wp:posOffset>685800</wp:posOffset>
            </wp:positionH>
            <wp:positionV relativeFrom="paragraph">
              <wp:posOffset>15240</wp:posOffset>
            </wp:positionV>
            <wp:extent cx="1059180" cy="10591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anchor>
        </w:drawing>
      </w:r>
    </w:p>
    <w:p w14:paraId="3EF62EFE" w14:textId="77777777" w:rsidR="00A2040D" w:rsidRDefault="00A2040D" w:rsidP="00A2040D">
      <w:pPr>
        <w:spacing w:after="0" w:line="240" w:lineRule="auto"/>
      </w:pPr>
    </w:p>
    <w:p w14:paraId="099E0BF7" w14:textId="77777777" w:rsidR="00A2040D" w:rsidRDefault="00A2040D" w:rsidP="00A2040D">
      <w:pPr>
        <w:spacing w:after="0" w:line="240" w:lineRule="auto"/>
      </w:pPr>
    </w:p>
    <w:p w14:paraId="4DA93F3E" w14:textId="77777777" w:rsidR="00A2040D" w:rsidRDefault="00A2040D" w:rsidP="00A2040D">
      <w:pPr>
        <w:spacing w:after="0" w:line="240" w:lineRule="auto"/>
      </w:pPr>
    </w:p>
    <w:p w14:paraId="2D4A4546" w14:textId="77777777" w:rsidR="00A2040D" w:rsidRDefault="00A2040D" w:rsidP="00A2040D">
      <w:pPr>
        <w:spacing w:after="0" w:line="240" w:lineRule="auto"/>
      </w:pPr>
    </w:p>
    <w:p w14:paraId="4586D5BA" w14:textId="77777777" w:rsidR="00A2040D" w:rsidRDefault="00A2040D" w:rsidP="00A2040D">
      <w:pPr>
        <w:spacing w:after="0" w:line="240" w:lineRule="auto"/>
      </w:pPr>
    </w:p>
    <w:p w14:paraId="0FD292F6" w14:textId="77777777" w:rsidR="00A2040D" w:rsidRDefault="00A2040D" w:rsidP="00A2040D">
      <w:pPr>
        <w:spacing w:after="0" w:line="240" w:lineRule="auto"/>
      </w:pPr>
    </w:p>
    <w:p w14:paraId="61FCB0AF" w14:textId="77777777" w:rsidR="00300957" w:rsidRPr="00374222" w:rsidRDefault="00300957" w:rsidP="00300957">
      <w:pPr>
        <w:spacing w:after="0" w:line="240" w:lineRule="auto"/>
        <w:rPr>
          <w:rFonts w:ascii="Arial" w:hAnsi="Arial" w:cs="Arial"/>
          <w:sz w:val="24"/>
          <w:szCs w:val="24"/>
        </w:rPr>
      </w:pPr>
      <w:r w:rsidRPr="00374222">
        <w:rPr>
          <w:rFonts w:ascii="Arial" w:hAnsi="Arial" w:cs="Arial"/>
          <w:sz w:val="24"/>
          <w:szCs w:val="24"/>
        </w:rPr>
        <w:t xml:space="preserve">I have/have not actioned your request. Please ensure appropriate action is taken </w:t>
      </w:r>
      <w:proofErr w:type="gramStart"/>
      <w:r w:rsidRPr="00374222">
        <w:rPr>
          <w:rFonts w:ascii="Arial" w:hAnsi="Arial" w:cs="Arial"/>
          <w:sz w:val="24"/>
          <w:szCs w:val="24"/>
        </w:rPr>
        <w:t>in light of</w:t>
      </w:r>
      <w:proofErr w:type="gramEnd"/>
      <w:r w:rsidRPr="00374222">
        <w:rPr>
          <w:rFonts w:ascii="Arial" w:hAnsi="Arial" w:cs="Arial"/>
          <w:sz w:val="24"/>
          <w:szCs w:val="24"/>
        </w:rPr>
        <w:t xml:space="preserve"> this.</w:t>
      </w:r>
    </w:p>
    <w:p w14:paraId="270669A5" w14:textId="77777777" w:rsidR="00A2040D" w:rsidRDefault="00A2040D" w:rsidP="00A2040D">
      <w:pPr>
        <w:spacing w:after="0" w:line="240" w:lineRule="auto"/>
      </w:pPr>
    </w:p>
    <w:p w14:paraId="64B20EC6" w14:textId="77777777" w:rsidR="00A2040D" w:rsidRPr="00A2040D" w:rsidRDefault="00A2040D" w:rsidP="00A2040D">
      <w:pPr>
        <w:spacing w:after="0" w:line="240" w:lineRule="auto"/>
        <w:rPr>
          <w:rFonts w:ascii="Arial" w:hAnsi="Arial" w:cs="Arial"/>
          <w:sz w:val="24"/>
          <w:szCs w:val="24"/>
        </w:rPr>
      </w:pPr>
      <w:r w:rsidRPr="00A2040D">
        <w:rPr>
          <w:rFonts w:ascii="Arial" w:hAnsi="Arial" w:cs="Arial"/>
          <w:sz w:val="24"/>
          <w:szCs w:val="24"/>
        </w:rPr>
        <w:t>Yours sincerely</w:t>
      </w:r>
    </w:p>
    <w:p w14:paraId="42B6B820" w14:textId="77777777" w:rsidR="00A2040D" w:rsidRPr="00A2040D" w:rsidRDefault="00A2040D" w:rsidP="00A2040D">
      <w:pPr>
        <w:spacing w:after="0" w:line="240" w:lineRule="auto"/>
        <w:rPr>
          <w:rFonts w:ascii="Arial" w:hAnsi="Arial" w:cs="Arial"/>
          <w:sz w:val="24"/>
          <w:szCs w:val="24"/>
        </w:rPr>
      </w:pPr>
    </w:p>
    <w:p w14:paraId="38C5FD11" w14:textId="77777777" w:rsidR="00BD04DC" w:rsidRDefault="00A2040D" w:rsidP="00A2040D">
      <w:pPr>
        <w:spacing w:after="0" w:line="240" w:lineRule="auto"/>
        <w:rPr>
          <w:rFonts w:ascii="Arial" w:hAnsi="Arial" w:cs="Arial"/>
          <w:sz w:val="24"/>
          <w:szCs w:val="24"/>
        </w:rPr>
      </w:pPr>
      <w:r w:rsidRPr="00A2040D">
        <w:rPr>
          <w:rFonts w:ascii="Arial" w:hAnsi="Arial" w:cs="Arial"/>
          <w:sz w:val="24"/>
          <w:szCs w:val="24"/>
        </w:rPr>
        <w:t>[GP Signature]</w:t>
      </w:r>
    </w:p>
    <w:p w14:paraId="37B06489" w14:textId="77777777" w:rsidR="00BD04DC" w:rsidRDefault="00BD04DC" w:rsidP="00A2040D">
      <w:pPr>
        <w:spacing w:after="0" w:line="240" w:lineRule="auto"/>
        <w:rPr>
          <w:rFonts w:ascii="Arial" w:hAnsi="Arial" w:cs="Arial"/>
          <w:sz w:val="24"/>
          <w:szCs w:val="24"/>
        </w:rPr>
      </w:pPr>
    </w:p>
    <w:p w14:paraId="491D9CD7" w14:textId="77777777" w:rsidR="00BD04DC" w:rsidRDefault="00BD04DC" w:rsidP="00A2040D">
      <w:pPr>
        <w:spacing w:after="0" w:line="240" w:lineRule="auto"/>
        <w:rPr>
          <w:rFonts w:ascii="Arial" w:hAnsi="Arial" w:cs="Arial"/>
          <w:sz w:val="24"/>
          <w:szCs w:val="24"/>
        </w:rPr>
      </w:pPr>
      <w:r>
        <w:rPr>
          <w:rFonts w:ascii="Arial" w:hAnsi="Arial" w:cs="Arial"/>
          <w:sz w:val="24"/>
          <w:szCs w:val="24"/>
        </w:rPr>
        <w:t>Copy to:</w:t>
      </w:r>
    </w:p>
    <w:p w14:paraId="229F28EC" w14:textId="1B52F95E" w:rsidR="00A96507" w:rsidRDefault="00BD04DC" w:rsidP="00A2040D">
      <w:pPr>
        <w:spacing w:after="0" w:line="240" w:lineRule="auto"/>
      </w:pPr>
      <w:r>
        <w:rPr>
          <w:rFonts w:ascii="Arial" w:hAnsi="Arial" w:cs="Arial"/>
          <w:sz w:val="24"/>
          <w:szCs w:val="24"/>
        </w:rPr>
        <w:t>Bro Taf LMC</w:t>
      </w:r>
      <w:r w:rsidR="00A96507">
        <w:br w:type="page"/>
      </w:r>
    </w:p>
    <w:tbl>
      <w:tblPr>
        <w:tblStyle w:val="TableGrid"/>
        <w:tblW w:w="8759" w:type="dxa"/>
        <w:tblInd w:w="-110" w:type="dxa"/>
        <w:tblCellMar>
          <w:top w:w="4" w:type="dxa"/>
          <w:left w:w="106" w:type="dxa"/>
          <w:right w:w="29" w:type="dxa"/>
        </w:tblCellMar>
        <w:tblLook w:val="04A0" w:firstRow="1" w:lastRow="0" w:firstColumn="1" w:lastColumn="0" w:noHBand="0" w:noVBand="1"/>
      </w:tblPr>
      <w:tblGrid>
        <w:gridCol w:w="538"/>
        <w:gridCol w:w="8221"/>
      </w:tblGrid>
      <w:tr w:rsidR="00A96507" w:rsidRPr="00A96507" w14:paraId="26D72F8C" w14:textId="77777777" w:rsidTr="00652C02">
        <w:trPr>
          <w:trHeight w:val="289"/>
        </w:trPr>
        <w:tc>
          <w:tcPr>
            <w:tcW w:w="8759" w:type="dxa"/>
            <w:gridSpan w:val="2"/>
            <w:tcBorders>
              <w:top w:val="single" w:sz="4" w:space="0" w:color="000000"/>
              <w:left w:val="single" w:sz="4" w:space="0" w:color="000000"/>
              <w:bottom w:val="single" w:sz="4" w:space="0" w:color="000000"/>
              <w:right w:val="single" w:sz="4" w:space="0" w:color="000000"/>
            </w:tcBorders>
          </w:tcPr>
          <w:p w14:paraId="4EF1A1C0"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b/>
                <w:color w:val="000000"/>
                <w:sz w:val="24"/>
              </w:rPr>
              <w:lastRenderedPageBreak/>
              <w:t xml:space="preserve">Standards Communication, referral and delegation standards </w:t>
            </w:r>
            <w:r w:rsidRPr="00A96507">
              <w:rPr>
                <w:rFonts w:ascii="Arial" w:eastAsia="Arial" w:hAnsi="Arial" w:cs="Arial"/>
                <w:color w:val="000000"/>
                <w:sz w:val="24"/>
              </w:rPr>
              <w:t xml:space="preserve"> </w:t>
            </w:r>
          </w:p>
        </w:tc>
      </w:tr>
      <w:tr w:rsidR="00A96507" w:rsidRPr="00A96507" w14:paraId="0D9705DA"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2847DDCF"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  </w:t>
            </w:r>
          </w:p>
        </w:tc>
        <w:tc>
          <w:tcPr>
            <w:tcW w:w="8221" w:type="dxa"/>
            <w:tcBorders>
              <w:top w:val="single" w:sz="4" w:space="0" w:color="000000"/>
              <w:left w:val="single" w:sz="4" w:space="0" w:color="000000"/>
              <w:bottom w:val="single" w:sz="4" w:space="0" w:color="000000"/>
              <w:right w:val="single" w:sz="4" w:space="0" w:color="000000"/>
            </w:tcBorders>
          </w:tcPr>
          <w:p w14:paraId="681520C5" w14:textId="77777777" w:rsidR="00A96507" w:rsidRPr="00A96507" w:rsidRDefault="00A96507" w:rsidP="00A96507">
            <w:pPr>
              <w:ind w:right="87"/>
              <w:jc w:val="both"/>
              <w:rPr>
                <w:rFonts w:ascii="Arial" w:eastAsia="Arial" w:hAnsi="Arial" w:cs="Arial"/>
                <w:color w:val="000000"/>
                <w:sz w:val="24"/>
              </w:rPr>
            </w:pPr>
            <w:r w:rsidRPr="00A96507">
              <w:rPr>
                <w:rFonts w:ascii="Arial" w:eastAsia="Arial" w:hAnsi="Arial" w:cs="Arial"/>
                <w:color w:val="000000"/>
                <w:sz w:val="24"/>
              </w:rPr>
              <w:t xml:space="preserve">Letters sent following an outpatient consultation should be addressed to the referring GP or Consultant. If sent to a referring </w:t>
            </w:r>
            <w:proofErr w:type="gramStart"/>
            <w:r w:rsidRPr="00A96507">
              <w:rPr>
                <w:rFonts w:ascii="Arial" w:eastAsia="Arial" w:hAnsi="Arial" w:cs="Arial"/>
                <w:color w:val="000000"/>
                <w:sz w:val="24"/>
              </w:rPr>
              <w:t>consultant</w:t>
            </w:r>
            <w:proofErr w:type="gramEnd"/>
            <w:r w:rsidRPr="00A96507">
              <w:rPr>
                <w:rFonts w:ascii="Arial" w:eastAsia="Arial" w:hAnsi="Arial" w:cs="Arial"/>
                <w:color w:val="000000"/>
                <w:sz w:val="24"/>
              </w:rPr>
              <w:t xml:space="preserve"> it should be copied to the patients registered GP.  </w:t>
            </w:r>
          </w:p>
        </w:tc>
      </w:tr>
      <w:tr w:rsidR="00A96507" w:rsidRPr="00A96507" w14:paraId="10046A26"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75C83F54"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2  </w:t>
            </w:r>
          </w:p>
        </w:tc>
        <w:tc>
          <w:tcPr>
            <w:tcW w:w="8221" w:type="dxa"/>
            <w:tcBorders>
              <w:top w:val="single" w:sz="4" w:space="0" w:color="000000"/>
              <w:left w:val="single" w:sz="4" w:space="0" w:color="000000"/>
              <w:bottom w:val="single" w:sz="4" w:space="0" w:color="000000"/>
              <w:right w:val="single" w:sz="4" w:space="0" w:color="000000"/>
            </w:tcBorders>
          </w:tcPr>
          <w:p w14:paraId="1E327021" w14:textId="77777777" w:rsidR="00A96507" w:rsidRPr="00A96507" w:rsidRDefault="00A96507" w:rsidP="00A96507">
            <w:pPr>
              <w:rPr>
                <w:rFonts w:ascii="Arial" w:eastAsia="Arial" w:hAnsi="Arial" w:cs="Arial"/>
                <w:color w:val="000000"/>
                <w:sz w:val="24"/>
              </w:rPr>
            </w:pPr>
            <w:r w:rsidRPr="00A96507">
              <w:rPr>
                <w:rFonts w:ascii="Arial" w:eastAsia="Arial" w:hAnsi="Arial" w:cs="Arial"/>
                <w:color w:val="000000"/>
                <w:sz w:val="24"/>
              </w:rPr>
              <w:t xml:space="preserve">Results of investigations remain the responsibility of the requesting clinician.  </w:t>
            </w:r>
          </w:p>
        </w:tc>
      </w:tr>
      <w:tr w:rsidR="00A96507" w:rsidRPr="00A96507" w14:paraId="1C6356E4"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1468E436"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3  </w:t>
            </w:r>
          </w:p>
        </w:tc>
        <w:tc>
          <w:tcPr>
            <w:tcW w:w="8221" w:type="dxa"/>
            <w:tcBorders>
              <w:top w:val="single" w:sz="4" w:space="0" w:color="000000"/>
              <w:left w:val="single" w:sz="4" w:space="0" w:color="000000"/>
              <w:bottom w:val="single" w:sz="4" w:space="0" w:color="000000"/>
              <w:right w:val="single" w:sz="4" w:space="0" w:color="000000"/>
            </w:tcBorders>
          </w:tcPr>
          <w:p w14:paraId="1707AC22"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It is the responsibility of the requesting doctor to arrange for investigations to be carried out.  </w:t>
            </w:r>
          </w:p>
        </w:tc>
      </w:tr>
      <w:tr w:rsidR="00A96507" w:rsidRPr="00A96507" w14:paraId="2EE23B80" w14:textId="77777777" w:rsidTr="00652C02">
        <w:trPr>
          <w:trHeight w:val="1114"/>
        </w:trPr>
        <w:tc>
          <w:tcPr>
            <w:tcW w:w="538" w:type="dxa"/>
            <w:tcBorders>
              <w:top w:val="single" w:sz="4" w:space="0" w:color="000000"/>
              <w:left w:val="single" w:sz="4" w:space="0" w:color="000000"/>
              <w:bottom w:val="single" w:sz="4" w:space="0" w:color="000000"/>
              <w:right w:val="single" w:sz="4" w:space="0" w:color="000000"/>
            </w:tcBorders>
          </w:tcPr>
          <w:p w14:paraId="2A0927B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4  </w:t>
            </w:r>
          </w:p>
        </w:tc>
        <w:tc>
          <w:tcPr>
            <w:tcW w:w="8221" w:type="dxa"/>
            <w:tcBorders>
              <w:top w:val="single" w:sz="4" w:space="0" w:color="000000"/>
              <w:left w:val="single" w:sz="4" w:space="0" w:color="000000"/>
              <w:bottom w:val="single" w:sz="4" w:space="0" w:color="000000"/>
              <w:right w:val="single" w:sz="4" w:space="0" w:color="000000"/>
            </w:tcBorders>
          </w:tcPr>
          <w:p w14:paraId="3C449A5A" w14:textId="77777777" w:rsidR="00A96507" w:rsidRPr="00A96507" w:rsidRDefault="00A96507" w:rsidP="00A96507">
            <w:pPr>
              <w:ind w:right="83"/>
              <w:jc w:val="both"/>
              <w:rPr>
                <w:rFonts w:ascii="Arial" w:eastAsia="Arial" w:hAnsi="Arial" w:cs="Arial"/>
                <w:color w:val="000000"/>
                <w:sz w:val="24"/>
              </w:rPr>
            </w:pPr>
            <w:r w:rsidRPr="00A96507">
              <w:rPr>
                <w:rFonts w:ascii="Arial" w:eastAsia="Arial" w:hAnsi="Arial" w:cs="Arial"/>
                <w:color w:val="000000"/>
                <w:sz w:val="24"/>
              </w:rPr>
              <w:t xml:space="preserve">The referring GP should be informed in each case where the priority of a referral is altered by, from that assigned in the referral. The GP referral should contain all information which is used to determine the priority of the referral.  </w:t>
            </w:r>
          </w:p>
        </w:tc>
      </w:tr>
      <w:tr w:rsidR="00A96507" w:rsidRPr="00A96507" w14:paraId="00502B00"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381157F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5  </w:t>
            </w:r>
          </w:p>
        </w:tc>
        <w:tc>
          <w:tcPr>
            <w:tcW w:w="8221" w:type="dxa"/>
            <w:tcBorders>
              <w:top w:val="single" w:sz="4" w:space="0" w:color="000000"/>
              <w:left w:val="single" w:sz="4" w:space="0" w:color="000000"/>
              <w:bottom w:val="single" w:sz="4" w:space="0" w:color="000000"/>
              <w:right w:val="single" w:sz="4" w:space="0" w:color="000000"/>
            </w:tcBorders>
          </w:tcPr>
          <w:p w14:paraId="0C67AC78"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Onward referral of patients is the responsibility of hospital staff, where the condition is directly linked to the initial GP referral.  </w:t>
            </w:r>
          </w:p>
        </w:tc>
      </w:tr>
      <w:tr w:rsidR="00A96507" w:rsidRPr="00A96507" w14:paraId="4DEDE122" w14:textId="77777777" w:rsidTr="00652C02">
        <w:trPr>
          <w:trHeight w:val="566"/>
        </w:trPr>
        <w:tc>
          <w:tcPr>
            <w:tcW w:w="538" w:type="dxa"/>
            <w:tcBorders>
              <w:top w:val="single" w:sz="4" w:space="0" w:color="000000"/>
              <w:left w:val="single" w:sz="4" w:space="0" w:color="000000"/>
              <w:bottom w:val="single" w:sz="4" w:space="0" w:color="000000"/>
              <w:right w:val="single" w:sz="4" w:space="0" w:color="000000"/>
            </w:tcBorders>
          </w:tcPr>
          <w:p w14:paraId="1E8E4358"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6  </w:t>
            </w:r>
          </w:p>
        </w:tc>
        <w:tc>
          <w:tcPr>
            <w:tcW w:w="8221" w:type="dxa"/>
            <w:tcBorders>
              <w:top w:val="single" w:sz="4" w:space="0" w:color="000000"/>
              <w:left w:val="single" w:sz="4" w:space="0" w:color="000000"/>
              <w:bottom w:val="single" w:sz="4" w:space="0" w:color="000000"/>
              <w:right w:val="single" w:sz="4" w:space="0" w:color="000000"/>
            </w:tcBorders>
          </w:tcPr>
          <w:p w14:paraId="52BA3E1E" w14:textId="77777777" w:rsidR="00A96507" w:rsidRPr="00A96507" w:rsidRDefault="00A96507" w:rsidP="00A96507">
            <w:pPr>
              <w:jc w:val="both"/>
              <w:rPr>
                <w:rFonts w:ascii="Arial" w:eastAsia="Arial" w:hAnsi="Arial" w:cs="Arial"/>
                <w:color w:val="000000"/>
                <w:sz w:val="24"/>
              </w:rPr>
            </w:pPr>
            <w:r w:rsidRPr="00A96507">
              <w:rPr>
                <w:rFonts w:ascii="Arial" w:eastAsia="Arial" w:hAnsi="Arial" w:cs="Arial"/>
                <w:color w:val="000000"/>
                <w:sz w:val="24"/>
              </w:rPr>
              <w:t xml:space="preserve">Patients who contact hospital staff </w:t>
            </w:r>
            <w:proofErr w:type="gramStart"/>
            <w:r w:rsidRPr="00A96507">
              <w:rPr>
                <w:rFonts w:ascii="Arial" w:eastAsia="Arial" w:hAnsi="Arial" w:cs="Arial"/>
                <w:color w:val="000000"/>
                <w:sz w:val="24"/>
              </w:rPr>
              <w:t>in an attempt to</w:t>
            </w:r>
            <w:proofErr w:type="gramEnd"/>
            <w:r w:rsidRPr="00A96507">
              <w:rPr>
                <w:rFonts w:ascii="Arial" w:eastAsia="Arial" w:hAnsi="Arial" w:cs="Arial"/>
                <w:color w:val="000000"/>
                <w:sz w:val="24"/>
              </w:rPr>
              <w:t xml:space="preserve"> expedite appointments should not routinely be advised to contact their GP.  </w:t>
            </w:r>
          </w:p>
        </w:tc>
      </w:tr>
      <w:tr w:rsidR="00A96507" w:rsidRPr="00A96507" w14:paraId="0D2743C9"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39E2C632"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7  </w:t>
            </w:r>
          </w:p>
        </w:tc>
        <w:tc>
          <w:tcPr>
            <w:tcW w:w="8221" w:type="dxa"/>
            <w:tcBorders>
              <w:top w:val="single" w:sz="4" w:space="0" w:color="000000"/>
              <w:left w:val="single" w:sz="4" w:space="0" w:color="000000"/>
              <w:bottom w:val="single" w:sz="4" w:space="0" w:color="000000"/>
              <w:right w:val="single" w:sz="4" w:space="0" w:color="000000"/>
            </w:tcBorders>
          </w:tcPr>
          <w:p w14:paraId="4BDA34C5" w14:textId="77777777" w:rsidR="00A96507" w:rsidRPr="00A96507" w:rsidRDefault="00A96507" w:rsidP="00A96507">
            <w:pPr>
              <w:ind w:right="85"/>
              <w:jc w:val="both"/>
              <w:rPr>
                <w:rFonts w:ascii="Arial" w:eastAsia="Arial" w:hAnsi="Arial" w:cs="Arial"/>
                <w:color w:val="000000"/>
                <w:sz w:val="24"/>
              </w:rPr>
            </w:pPr>
            <w:r w:rsidRPr="00A96507">
              <w:rPr>
                <w:rFonts w:ascii="Arial" w:eastAsia="Arial" w:hAnsi="Arial" w:cs="Arial"/>
                <w:color w:val="000000"/>
                <w:sz w:val="24"/>
              </w:rPr>
              <w:t xml:space="preserve">Any doctor/specialist nurse referring a patient for a consultation with another specialist should ensure the patient understands the reason for the referral.  </w:t>
            </w:r>
          </w:p>
        </w:tc>
      </w:tr>
      <w:tr w:rsidR="00A96507" w:rsidRPr="00A96507" w14:paraId="43D05DA5" w14:textId="77777777" w:rsidTr="00652C02">
        <w:trPr>
          <w:trHeight w:val="841"/>
        </w:trPr>
        <w:tc>
          <w:tcPr>
            <w:tcW w:w="538" w:type="dxa"/>
            <w:tcBorders>
              <w:top w:val="single" w:sz="4" w:space="0" w:color="000000"/>
              <w:left w:val="single" w:sz="4" w:space="0" w:color="000000"/>
              <w:bottom w:val="single" w:sz="4" w:space="0" w:color="000000"/>
              <w:right w:val="single" w:sz="4" w:space="0" w:color="000000"/>
            </w:tcBorders>
          </w:tcPr>
          <w:p w14:paraId="36601DCF"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8  </w:t>
            </w:r>
          </w:p>
        </w:tc>
        <w:tc>
          <w:tcPr>
            <w:tcW w:w="8221" w:type="dxa"/>
            <w:tcBorders>
              <w:top w:val="single" w:sz="4" w:space="0" w:color="000000"/>
              <w:left w:val="single" w:sz="4" w:space="0" w:color="000000"/>
              <w:bottom w:val="single" w:sz="4" w:space="0" w:color="000000"/>
              <w:right w:val="single" w:sz="4" w:space="0" w:color="000000"/>
            </w:tcBorders>
          </w:tcPr>
          <w:p w14:paraId="206452FC" w14:textId="77777777" w:rsidR="00A96507" w:rsidRPr="00A96507" w:rsidRDefault="00A96507" w:rsidP="00A96507">
            <w:pPr>
              <w:ind w:right="79"/>
              <w:jc w:val="both"/>
              <w:rPr>
                <w:rFonts w:ascii="Arial" w:eastAsia="Arial" w:hAnsi="Arial" w:cs="Arial"/>
                <w:color w:val="000000"/>
                <w:sz w:val="24"/>
              </w:rPr>
            </w:pPr>
            <w:r w:rsidRPr="00A96507">
              <w:rPr>
                <w:rFonts w:ascii="Arial" w:eastAsia="Arial" w:hAnsi="Arial" w:cs="Arial"/>
                <w:color w:val="000000"/>
                <w:sz w:val="24"/>
              </w:rPr>
              <w:t xml:space="preserve">All correspondence between doctors in primary and secondary care should be dealt with promptly. This includes requests for further information by the receiving consultant. </w:t>
            </w:r>
          </w:p>
        </w:tc>
      </w:tr>
      <w:tr w:rsidR="00A96507" w:rsidRPr="00A96507" w14:paraId="27DCDE2D" w14:textId="77777777" w:rsidTr="00652C02">
        <w:trPr>
          <w:trHeight w:val="835"/>
        </w:trPr>
        <w:tc>
          <w:tcPr>
            <w:tcW w:w="538" w:type="dxa"/>
            <w:tcBorders>
              <w:top w:val="single" w:sz="4" w:space="0" w:color="000000"/>
              <w:left w:val="single" w:sz="4" w:space="0" w:color="000000"/>
              <w:bottom w:val="single" w:sz="4" w:space="0" w:color="000000"/>
              <w:right w:val="single" w:sz="4" w:space="0" w:color="000000"/>
            </w:tcBorders>
          </w:tcPr>
          <w:p w14:paraId="2BA56373"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9  </w:t>
            </w:r>
          </w:p>
        </w:tc>
        <w:tc>
          <w:tcPr>
            <w:tcW w:w="8221" w:type="dxa"/>
            <w:tcBorders>
              <w:top w:val="single" w:sz="4" w:space="0" w:color="000000"/>
              <w:left w:val="single" w:sz="4" w:space="0" w:color="000000"/>
              <w:bottom w:val="single" w:sz="4" w:space="0" w:color="000000"/>
              <w:right w:val="single" w:sz="4" w:space="0" w:color="000000"/>
            </w:tcBorders>
          </w:tcPr>
          <w:p w14:paraId="02E50AD2" w14:textId="77777777" w:rsidR="00A96507" w:rsidRPr="00A96507" w:rsidRDefault="00A96507" w:rsidP="00A96507">
            <w:pPr>
              <w:ind w:right="87"/>
              <w:jc w:val="both"/>
              <w:rPr>
                <w:rFonts w:ascii="Arial" w:eastAsia="Arial" w:hAnsi="Arial" w:cs="Arial"/>
                <w:color w:val="000000"/>
                <w:sz w:val="24"/>
              </w:rPr>
            </w:pPr>
            <w:r w:rsidRPr="00A96507">
              <w:rPr>
                <w:rFonts w:ascii="Arial" w:eastAsia="Arial" w:hAnsi="Arial" w:cs="Arial"/>
                <w:color w:val="000000"/>
                <w:sz w:val="24"/>
              </w:rPr>
              <w:t xml:space="preserve">GPs should not be asked to prescribe medication under shared care arrangements until formal agreement has been obtained by the requesting clinician.  </w:t>
            </w:r>
          </w:p>
        </w:tc>
      </w:tr>
      <w:tr w:rsidR="00A96507" w:rsidRPr="00A96507" w14:paraId="3C857522" w14:textId="77777777" w:rsidTr="00652C02">
        <w:trPr>
          <w:trHeight w:val="1114"/>
        </w:trPr>
        <w:tc>
          <w:tcPr>
            <w:tcW w:w="538" w:type="dxa"/>
            <w:tcBorders>
              <w:top w:val="single" w:sz="4" w:space="0" w:color="000000"/>
              <w:left w:val="single" w:sz="4" w:space="0" w:color="000000"/>
              <w:bottom w:val="single" w:sz="4" w:space="0" w:color="000000"/>
              <w:right w:val="single" w:sz="4" w:space="0" w:color="000000"/>
            </w:tcBorders>
          </w:tcPr>
          <w:p w14:paraId="5F442D8E"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10  </w:t>
            </w:r>
          </w:p>
        </w:tc>
        <w:tc>
          <w:tcPr>
            <w:tcW w:w="8221" w:type="dxa"/>
            <w:tcBorders>
              <w:top w:val="single" w:sz="4" w:space="0" w:color="000000"/>
              <w:left w:val="single" w:sz="4" w:space="0" w:color="000000"/>
              <w:bottom w:val="single" w:sz="4" w:space="0" w:color="000000"/>
              <w:right w:val="single" w:sz="4" w:space="0" w:color="000000"/>
            </w:tcBorders>
          </w:tcPr>
          <w:p w14:paraId="55947CD2" w14:textId="77777777" w:rsidR="00A96507" w:rsidRPr="00A96507" w:rsidRDefault="00A96507" w:rsidP="00A96507">
            <w:pPr>
              <w:ind w:right="79"/>
              <w:jc w:val="both"/>
              <w:rPr>
                <w:rFonts w:ascii="Arial" w:eastAsia="Arial" w:hAnsi="Arial" w:cs="Arial"/>
                <w:color w:val="000000"/>
                <w:sz w:val="24"/>
              </w:rPr>
            </w:pPr>
            <w:r w:rsidRPr="00A96507">
              <w:rPr>
                <w:rFonts w:ascii="Arial" w:eastAsia="Arial" w:hAnsi="Arial" w:cs="Arial"/>
                <w:color w:val="000000"/>
                <w:sz w:val="24"/>
              </w:rPr>
              <w:t xml:space="preserve">The responsibility for issuing Med3 certificates lies with the clinician who advises the patient to refrain from work, and certificates issued should be of sufficient duration to cover expected work absence, subject to issuing guidance.  </w:t>
            </w:r>
          </w:p>
        </w:tc>
      </w:tr>
      <w:tr w:rsidR="00A96507" w:rsidRPr="00A96507" w14:paraId="4C09087E" w14:textId="77777777" w:rsidTr="00652C02">
        <w:trPr>
          <w:trHeight w:val="841"/>
        </w:trPr>
        <w:tc>
          <w:tcPr>
            <w:tcW w:w="538" w:type="dxa"/>
            <w:tcBorders>
              <w:top w:val="single" w:sz="4" w:space="0" w:color="000000"/>
              <w:left w:val="single" w:sz="4" w:space="0" w:color="000000"/>
              <w:bottom w:val="single" w:sz="4" w:space="0" w:color="000000"/>
              <w:right w:val="single" w:sz="4" w:space="0" w:color="000000"/>
            </w:tcBorders>
          </w:tcPr>
          <w:p w14:paraId="66EB61F4" w14:textId="77777777" w:rsidR="00A96507" w:rsidRPr="00A96507" w:rsidRDefault="00A96507" w:rsidP="00A96507">
            <w:pPr>
              <w:ind w:left="5"/>
              <w:rPr>
                <w:rFonts w:ascii="Arial" w:eastAsia="Arial" w:hAnsi="Arial" w:cs="Arial"/>
                <w:color w:val="000000"/>
                <w:sz w:val="24"/>
              </w:rPr>
            </w:pPr>
            <w:r w:rsidRPr="00A96507">
              <w:rPr>
                <w:rFonts w:ascii="Arial" w:eastAsia="Arial" w:hAnsi="Arial" w:cs="Arial"/>
                <w:color w:val="000000"/>
                <w:sz w:val="24"/>
              </w:rPr>
              <w:t xml:space="preserve">11  </w:t>
            </w:r>
          </w:p>
        </w:tc>
        <w:tc>
          <w:tcPr>
            <w:tcW w:w="8221" w:type="dxa"/>
            <w:tcBorders>
              <w:top w:val="single" w:sz="4" w:space="0" w:color="000000"/>
              <w:left w:val="single" w:sz="4" w:space="0" w:color="000000"/>
              <w:bottom w:val="single" w:sz="4" w:space="0" w:color="000000"/>
              <w:right w:val="single" w:sz="4" w:space="0" w:color="000000"/>
            </w:tcBorders>
          </w:tcPr>
          <w:p w14:paraId="6F19CE37" w14:textId="77777777" w:rsidR="00A96507" w:rsidRPr="00A96507" w:rsidRDefault="00A96507" w:rsidP="00A96507">
            <w:pPr>
              <w:ind w:right="74"/>
              <w:jc w:val="both"/>
              <w:rPr>
                <w:rFonts w:ascii="Arial" w:eastAsia="Arial" w:hAnsi="Arial" w:cs="Arial"/>
                <w:color w:val="000000"/>
                <w:sz w:val="24"/>
              </w:rPr>
            </w:pPr>
            <w:r w:rsidRPr="00A96507">
              <w:rPr>
                <w:rFonts w:ascii="Arial" w:eastAsia="Arial" w:hAnsi="Arial" w:cs="Arial"/>
                <w:color w:val="000000"/>
                <w:sz w:val="24"/>
              </w:rPr>
              <w:t>Where patients do not attend for out-</w:t>
            </w:r>
            <w:proofErr w:type="gramStart"/>
            <w:r w:rsidRPr="00A96507">
              <w:rPr>
                <w:rFonts w:ascii="Arial" w:eastAsia="Arial" w:hAnsi="Arial" w:cs="Arial"/>
                <w:color w:val="000000"/>
                <w:sz w:val="24"/>
              </w:rPr>
              <w:t>patients</w:t>
            </w:r>
            <w:proofErr w:type="gramEnd"/>
            <w:r w:rsidRPr="00A96507">
              <w:rPr>
                <w:rFonts w:ascii="Arial" w:eastAsia="Arial" w:hAnsi="Arial" w:cs="Arial"/>
                <w:color w:val="000000"/>
                <w:sz w:val="24"/>
              </w:rPr>
              <w:t xml:space="preserve"> appointments without giving notice, in line with WG guidelines for pathway management they will be discharged. Both the GP and patient should be advised of the discharge.  </w:t>
            </w:r>
          </w:p>
        </w:tc>
      </w:tr>
      <w:tr w:rsidR="00A96507" w:rsidRPr="00A96507" w14:paraId="2CA1E2C7" w14:textId="77777777" w:rsidTr="00652C02">
        <w:trPr>
          <w:trHeight w:val="562"/>
        </w:trPr>
        <w:tc>
          <w:tcPr>
            <w:tcW w:w="538" w:type="dxa"/>
            <w:tcBorders>
              <w:top w:val="single" w:sz="4" w:space="0" w:color="000000"/>
              <w:left w:val="single" w:sz="4" w:space="0" w:color="000000"/>
              <w:bottom w:val="single" w:sz="4" w:space="0" w:color="000000"/>
              <w:right w:val="single" w:sz="4" w:space="0" w:color="000000"/>
            </w:tcBorders>
          </w:tcPr>
          <w:p w14:paraId="1197B500" w14:textId="77777777" w:rsidR="00A96507" w:rsidRPr="00A96507" w:rsidRDefault="00A96507" w:rsidP="00A96507">
            <w:pPr>
              <w:ind w:left="5"/>
              <w:jc w:val="both"/>
              <w:rPr>
                <w:rFonts w:ascii="Arial" w:eastAsia="Arial" w:hAnsi="Arial" w:cs="Arial"/>
                <w:color w:val="000000"/>
                <w:sz w:val="24"/>
              </w:rPr>
            </w:pPr>
            <w:r w:rsidRPr="00A96507">
              <w:rPr>
                <w:rFonts w:ascii="Arial" w:eastAsia="Arial" w:hAnsi="Arial" w:cs="Arial"/>
                <w:color w:val="000000"/>
                <w:sz w:val="24"/>
              </w:rPr>
              <w:t xml:space="preserve">12 </w:t>
            </w:r>
          </w:p>
        </w:tc>
        <w:tc>
          <w:tcPr>
            <w:tcW w:w="8221" w:type="dxa"/>
            <w:tcBorders>
              <w:top w:val="single" w:sz="4" w:space="0" w:color="000000"/>
              <w:left w:val="single" w:sz="4" w:space="0" w:color="000000"/>
              <w:bottom w:val="single" w:sz="4" w:space="0" w:color="000000"/>
              <w:right w:val="single" w:sz="4" w:space="0" w:color="000000"/>
            </w:tcBorders>
          </w:tcPr>
          <w:p w14:paraId="040771B5" w14:textId="77777777" w:rsidR="00A96507" w:rsidRPr="00A96507" w:rsidRDefault="00A96507" w:rsidP="00A96507">
            <w:pPr>
              <w:rPr>
                <w:rFonts w:ascii="Arial" w:eastAsia="Arial" w:hAnsi="Arial" w:cs="Arial"/>
                <w:color w:val="000000"/>
                <w:sz w:val="24"/>
              </w:rPr>
            </w:pPr>
            <w:r w:rsidRPr="00A96507">
              <w:rPr>
                <w:rFonts w:ascii="Arial" w:eastAsia="Arial" w:hAnsi="Arial" w:cs="Arial"/>
                <w:color w:val="000000"/>
                <w:sz w:val="24"/>
              </w:rPr>
              <w:t xml:space="preserve">Patients should be offered a copy of referral and outpatient letters. Electronic letters can be sent when appropriate </w:t>
            </w:r>
          </w:p>
        </w:tc>
      </w:tr>
    </w:tbl>
    <w:p w14:paraId="5985C4B5" w14:textId="77777777" w:rsidR="004079FA" w:rsidRDefault="004079FA"/>
    <w:sectPr w:rsidR="004079F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36D3" w14:textId="77777777" w:rsidR="00A71881" w:rsidRDefault="00A71881" w:rsidP="00374222">
      <w:pPr>
        <w:spacing w:after="0" w:line="240" w:lineRule="auto"/>
      </w:pPr>
      <w:r>
        <w:separator/>
      </w:r>
    </w:p>
  </w:endnote>
  <w:endnote w:type="continuationSeparator" w:id="0">
    <w:p w14:paraId="797F0FA6" w14:textId="77777777" w:rsidR="00A71881" w:rsidRDefault="00A71881" w:rsidP="0037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A330" w14:textId="77777777" w:rsidR="00A71881" w:rsidRDefault="00A71881" w:rsidP="00374222">
      <w:pPr>
        <w:spacing w:after="0" w:line="240" w:lineRule="auto"/>
      </w:pPr>
      <w:r>
        <w:separator/>
      </w:r>
    </w:p>
  </w:footnote>
  <w:footnote w:type="continuationSeparator" w:id="0">
    <w:p w14:paraId="0C1D334B" w14:textId="77777777" w:rsidR="00A71881" w:rsidRDefault="00A71881" w:rsidP="0037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0783" w14:textId="3298A547" w:rsidR="00374222" w:rsidRDefault="00374222" w:rsidP="00374222">
    <w:pPr>
      <w:spacing w:after="0" w:line="240" w:lineRule="auto"/>
      <w:ind w:right="-613"/>
      <w:rPr>
        <w:rFonts w:ascii="Gadugi" w:hAnsi="Gadugi" w:cs="Arial"/>
        <w:sz w:val="20"/>
        <w:szCs w:val="20"/>
        <w:lang w:eastAsia="en-GB"/>
      </w:rPr>
    </w:pPr>
    <w:r>
      <w:rPr>
        <w:noProof/>
      </w:rPr>
      <w:drawing>
        <wp:anchor distT="0" distB="0" distL="114300" distR="114300" simplePos="0" relativeHeight="251659264" behindDoc="0" locked="0" layoutInCell="1" allowOverlap="1" wp14:anchorId="25095023" wp14:editId="2A6ACDFE">
          <wp:simplePos x="0" y="0"/>
          <wp:positionH relativeFrom="margin">
            <wp:posOffset>0</wp:posOffset>
          </wp:positionH>
          <wp:positionV relativeFrom="paragraph">
            <wp:posOffset>170815</wp:posOffset>
          </wp:positionV>
          <wp:extent cx="2228850" cy="609600"/>
          <wp:effectExtent l="0" t="0" r="0" b="0"/>
          <wp:wrapSquare wrapText="r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32165" w14:textId="77777777" w:rsidR="00374222" w:rsidRDefault="00374222" w:rsidP="00374222">
    <w:pPr>
      <w:spacing w:after="0" w:line="240" w:lineRule="auto"/>
      <w:ind w:right="-613"/>
      <w:rPr>
        <w:rFonts w:ascii="Gadugi" w:hAnsi="Gadugi" w:cs="Arial"/>
        <w:sz w:val="20"/>
        <w:szCs w:val="20"/>
        <w:lang w:eastAsia="en-GB"/>
      </w:rPr>
    </w:pPr>
  </w:p>
  <w:p w14:paraId="72569365" w14:textId="79042C2E" w:rsidR="00374222" w:rsidRPr="00B03BE3" w:rsidRDefault="00111643" w:rsidP="00374222">
    <w:pPr>
      <w:spacing w:after="0" w:line="240" w:lineRule="auto"/>
      <w:ind w:right="-613"/>
      <w:rPr>
        <w:rFonts w:ascii="Gadugi" w:hAnsi="Gadugi" w:cs="Arial"/>
        <w:sz w:val="20"/>
        <w:szCs w:val="20"/>
        <w:lang w:eastAsia="en-GB"/>
      </w:rPr>
    </w:pPr>
    <w:r>
      <w:rPr>
        <w:rFonts w:ascii="Gadugi" w:hAnsi="Gadugi" w:cs="Arial"/>
        <w:sz w:val="20"/>
        <w:szCs w:val="20"/>
        <w:lang w:eastAsia="en-GB"/>
      </w:rPr>
      <w:t xml:space="preserve">Ty Menter, Navigation Park, Abercynon, CF45 </w:t>
    </w:r>
    <w:proofErr w:type="gramStart"/>
    <w:r>
      <w:rPr>
        <w:rFonts w:ascii="Gadugi" w:hAnsi="Gadugi" w:cs="Arial"/>
        <w:sz w:val="20"/>
        <w:szCs w:val="20"/>
        <w:lang w:eastAsia="en-GB"/>
      </w:rPr>
      <w:t>4SN</w:t>
    </w:r>
    <w:proofErr w:type="gramEnd"/>
  </w:p>
  <w:p w14:paraId="7E617CA1" w14:textId="1B8F8B64" w:rsidR="00374222" w:rsidRDefault="00374222" w:rsidP="00374222">
    <w:pPr>
      <w:spacing w:after="0" w:line="240" w:lineRule="auto"/>
      <w:ind w:right="29"/>
      <w:rPr>
        <w:rFonts w:ascii="Gadugi" w:hAnsi="Gadugi" w:cs="Arial"/>
        <w:sz w:val="20"/>
        <w:szCs w:val="20"/>
        <w:lang w:eastAsia="en-GB"/>
      </w:rPr>
    </w:pPr>
    <w:r w:rsidRPr="00B03BE3">
      <w:rPr>
        <w:rFonts w:ascii="Gadugi" w:hAnsi="Gadugi" w:cs="Arial"/>
        <w:sz w:val="20"/>
        <w:szCs w:val="20"/>
        <w:lang w:eastAsia="en-GB"/>
      </w:rPr>
      <w:t xml:space="preserve">Tel: (029) </w:t>
    </w:r>
    <w:r w:rsidR="00111643">
      <w:rPr>
        <w:rFonts w:ascii="Gadugi" w:hAnsi="Gadugi" w:cs="Arial"/>
        <w:sz w:val="20"/>
        <w:szCs w:val="20"/>
        <w:lang w:eastAsia="en-GB"/>
      </w:rPr>
      <w:t>22</w:t>
    </w:r>
    <w:r w:rsidR="00885EB5">
      <w:rPr>
        <w:rFonts w:ascii="Gadugi" w:hAnsi="Gadugi" w:cs="Arial"/>
        <w:sz w:val="20"/>
        <w:szCs w:val="20"/>
        <w:lang w:eastAsia="en-GB"/>
      </w:rPr>
      <w:t>805994</w:t>
    </w:r>
    <w:r>
      <w:rPr>
        <w:rFonts w:ascii="Gadugi" w:hAnsi="Gadugi" w:cs="Arial"/>
        <w:sz w:val="20"/>
        <w:szCs w:val="20"/>
        <w:lang w:eastAsia="en-GB"/>
      </w:rPr>
      <w:t xml:space="preserve"> </w:t>
    </w:r>
    <w:r w:rsidRPr="00B03BE3">
      <w:rPr>
        <w:rFonts w:ascii="Gadugi" w:hAnsi="Gadugi" w:cs="Arial"/>
        <w:sz w:val="20"/>
        <w:szCs w:val="20"/>
        <w:lang w:eastAsia="en-GB"/>
      </w:rPr>
      <w:t xml:space="preserve">Email: </w:t>
    </w:r>
    <w:hyperlink r:id="rId2" w:history="1">
      <w:r w:rsidRPr="00472769">
        <w:rPr>
          <w:rStyle w:val="Hyperlink"/>
          <w:rFonts w:ascii="Gadugi" w:hAnsi="Gadugi" w:cs="Arial"/>
          <w:sz w:val="20"/>
          <w:szCs w:val="20"/>
          <w:lang w:eastAsia="en-GB"/>
        </w:rPr>
        <w:t>brotaflmcltd@brotaflmcltd.co.uk</w:t>
      </w:r>
    </w:hyperlink>
    <w:r>
      <w:rPr>
        <w:rFonts w:ascii="Gadugi" w:hAnsi="Gadugi" w:cs="Arial"/>
        <w:sz w:val="20"/>
        <w:szCs w:val="20"/>
        <w:lang w:eastAsia="en-GB"/>
      </w:rPr>
      <w:t xml:space="preserve"> </w:t>
    </w:r>
    <w:r w:rsidRPr="00B03BE3">
      <w:rPr>
        <w:rFonts w:ascii="Gadugi" w:hAnsi="Gadugi" w:cs="Arial"/>
        <w:sz w:val="20"/>
        <w:szCs w:val="20"/>
        <w:lang w:eastAsia="en-GB"/>
      </w:rPr>
      <w:t xml:space="preserve">Website: </w:t>
    </w:r>
    <w:hyperlink r:id="rId3" w:history="1">
      <w:r w:rsidRPr="00B03BE3">
        <w:rPr>
          <w:rStyle w:val="Hyperlink"/>
          <w:rFonts w:ascii="Gadugi" w:hAnsi="Gadugi" w:cs="Arial"/>
          <w:sz w:val="20"/>
          <w:szCs w:val="20"/>
          <w:lang w:eastAsia="en-GB"/>
        </w:rPr>
        <w:t>www.brotaflmc.org.uk</w:t>
      </w:r>
    </w:hyperlink>
  </w:p>
  <w:p w14:paraId="260AD80D" w14:textId="1F76ABB8" w:rsidR="00374222" w:rsidRDefault="00374222">
    <w:pPr>
      <w:pStyle w:val="Header"/>
    </w:pPr>
  </w:p>
  <w:p w14:paraId="26A664A6" w14:textId="586FEDA0" w:rsidR="00374222" w:rsidRDefault="00374222">
    <w:pPr>
      <w:pStyle w:val="Header"/>
    </w:pPr>
  </w:p>
  <w:p w14:paraId="58FBEB3D" w14:textId="77777777" w:rsidR="00374222" w:rsidRDefault="00374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07"/>
    <w:rsid w:val="00111643"/>
    <w:rsid w:val="00300957"/>
    <w:rsid w:val="00374222"/>
    <w:rsid w:val="003A5C99"/>
    <w:rsid w:val="004079FA"/>
    <w:rsid w:val="00681954"/>
    <w:rsid w:val="00885EB5"/>
    <w:rsid w:val="00A2040D"/>
    <w:rsid w:val="00A71881"/>
    <w:rsid w:val="00A96507"/>
    <w:rsid w:val="00BD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05834"/>
  <w15:chartTrackingRefBased/>
  <w15:docId w15:val="{1D5AAB28-AC7F-49D4-A2A2-F132079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96507"/>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37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22"/>
  </w:style>
  <w:style w:type="paragraph" w:styleId="Footer">
    <w:name w:val="footer"/>
    <w:basedOn w:val="Normal"/>
    <w:link w:val="FooterChar"/>
    <w:uiPriority w:val="99"/>
    <w:unhideWhenUsed/>
    <w:rsid w:val="0037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22"/>
  </w:style>
  <w:style w:type="character" w:styleId="Hyperlink">
    <w:name w:val="Hyperlink"/>
    <w:uiPriority w:val="99"/>
    <w:unhideWhenUsed/>
    <w:rsid w:val="003742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brotaflmc.org.uk" TargetMode="External"/><Relationship Id="rId2" Type="http://schemas.openxmlformats.org/officeDocument/2006/relationships/hyperlink" Target="mailto:brotaflmcltd@brotaflmcltd.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3b735c6cfbd447bc7326367b8c08a8a1">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ef5318e54fc9cc4b40d82425fe2c4e18"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8F2EC-56BA-48CC-BBBE-3AB54EEF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D4052-B00D-44F9-998C-D93E003A0F51}">
  <ds:schemaRefs>
    <ds:schemaRef ds:uri="http://schemas.microsoft.com/sharepoint/v3/contenttype/forms"/>
  </ds:schemaRefs>
</ds:datastoreItem>
</file>

<file path=customXml/itemProps3.xml><?xml version="1.0" encoding="utf-8"?>
<ds:datastoreItem xmlns:ds="http://schemas.openxmlformats.org/officeDocument/2006/customXml" ds:itemID="{DF0C5C93-F8BC-42F7-A6F1-D04739E38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 (Canton - Meddygfa Canna Surgery)</dc:creator>
  <cp:keywords/>
  <dc:description/>
  <cp:lastModifiedBy>BRO TAF LMC</cp:lastModifiedBy>
  <cp:revision>7</cp:revision>
  <dcterms:created xsi:type="dcterms:W3CDTF">2021-11-17T09:11:00Z</dcterms:created>
  <dcterms:modified xsi:type="dcterms:W3CDTF">2023-09-04T13:34:00Z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